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EAFD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关于“乌银利鑫系列”202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125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期人民币理财产品到期的公告</w:t>
      </w:r>
    </w:p>
    <w:p w14:paraId="5911A96C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7FA121D5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尊敬的客户:</w:t>
      </w:r>
    </w:p>
    <w:p w14:paraId="551C3E73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right="0" w:firstLine="360" w:firstLineChars="2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日，乌海银行“乌银利鑫系列”202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125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期理财产品到期，该产品的投资资产种类为工行广州分行同业存款，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自贡银行同业存款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，到期产品投资收益率信息如下：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5A5A5A" w:sz="6" w:space="0"/>
          <w:left w:val="single" w:color="5A5A5A" w:sz="6" w:space="0"/>
          <w:bottom w:val="none" w:color="5A5A5A" w:sz="0" w:space="0"/>
          <w:right w:val="none" w:color="5A5A5A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364"/>
        <w:gridCol w:w="853"/>
        <w:gridCol w:w="910"/>
        <w:gridCol w:w="868"/>
        <w:gridCol w:w="771"/>
        <w:gridCol w:w="883"/>
        <w:gridCol w:w="1053"/>
        <w:gridCol w:w="551"/>
      </w:tblGrid>
      <w:tr w14:paraId="4B95A284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8F9CD1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产品代码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14C3B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3AF3C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84BBA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BDEBF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到帐日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D17F38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FE918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产品单位净值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00FAA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客户收益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C5A21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收费情况</w:t>
            </w:r>
          </w:p>
        </w:tc>
      </w:tr>
      <w:tr w14:paraId="174F5F4F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12FFE7D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LX20240125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20D46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乌银利鑫系列2024年第125期理财产品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23D98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2024年10月30日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85BBC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2025年5月7日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D86BA5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2025年5月7日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0A46B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2.9%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C16D5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1.0163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770F35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161370.00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A3B07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无销售费用</w:t>
            </w:r>
          </w:p>
        </w:tc>
      </w:tr>
    </w:tbl>
    <w:p w14:paraId="3971CAA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特此公告。</w:t>
      </w:r>
    </w:p>
    <w:p w14:paraId="02A8E11C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400" w:firstLineChars="30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乌海银行股份有限公司</w:t>
      </w:r>
    </w:p>
    <w:p w14:paraId="10892450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580" w:firstLineChars="31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1FF12B7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关于“乌银利鑫系列”202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7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期人民币理财产品到期的公告</w:t>
      </w:r>
    </w:p>
    <w:p w14:paraId="454BAE72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6457E6A6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尊敬的客户:</w:t>
      </w:r>
    </w:p>
    <w:p w14:paraId="2766D3F3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right="0" w:firstLine="360" w:firstLineChars="2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日，乌海银行“乌银利鑫系列”202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期理财产品到期，该产品的投资资产种类为工行广州分行同业存款，16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襄阳农商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银行二级债，16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郓城农商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银行二级债，到期产品投资收益率信息如下：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5A5A5A" w:sz="6" w:space="0"/>
          <w:left w:val="single" w:color="5A5A5A" w:sz="6" w:space="0"/>
          <w:bottom w:val="none" w:color="5A5A5A" w:sz="0" w:space="0"/>
          <w:right w:val="none" w:color="5A5A5A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364"/>
        <w:gridCol w:w="853"/>
        <w:gridCol w:w="910"/>
        <w:gridCol w:w="868"/>
        <w:gridCol w:w="771"/>
        <w:gridCol w:w="883"/>
        <w:gridCol w:w="1053"/>
        <w:gridCol w:w="551"/>
      </w:tblGrid>
      <w:tr w14:paraId="2FE39EC2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A38A0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产品代码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558DB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92647C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818E0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66E4C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到帐日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990019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C2124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产品单位净值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4F13D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客户收益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69CFF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收费情况</w:t>
            </w:r>
          </w:p>
        </w:tc>
      </w:tr>
      <w:tr w14:paraId="0EFBA91A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22FE7A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LX20250007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47D884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乌银利鑫系列2025年第7期理财产品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82716E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2025年1月15日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F50678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2025年5月7日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45794A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2025年5月7日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6993EC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2.5%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D3EE3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1.0080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1552A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138400.00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37E2F4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无销售费用</w:t>
            </w:r>
          </w:p>
        </w:tc>
      </w:tr>
    </w:tbl>
    <w:p w14:paraId="3B98286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特此公告。</w:t>
      </w:r>
    </w:p>
    <w:p w14:paraId="1C562C04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400" w:firstLineChars="30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乌海银行股份有限公司</w:t>
      </w:r>
    </w:p>
    <w:p w14:paraId="32B70F2E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580" w:firstLineChars="31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7FD2D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309EE"/>
    <w:rsid w:val="28B0710A"/>
    <w:rsid w:val="566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570</Characters>
  <Lines>0</Lines>
  <Paragraphs>0</Paragraphs>
  <TotalTime>10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2025-12-15T12:49:00Z</dcterms:created>
  <dc:creator>Administrator</dc:creator>
  <cp:lastModifiedBy>刘智军</cp:lastModifiedBy>
  <dcterms:modified xsi:type="dcterms:W3CDTF">2025-12-15T13:01:44Z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eyJoZGlkIjoiYmVkMWNlN2M5NGM5NWNkYTRmNTI1MTA5ZDcyY2YyZTkiLCJ1c2VySWQiOiI0OTE3NjY1MjUifQ==</vt:lpwstr>
  </property>
  <property fmtid="{D5CDD505-2E9C-101B-9397-08002B2CF9AE}" pid="4" name="ICV">
    <vt:lpwstr>F915C01CD49942658688AF21D76B51E5_12</vt:lpwstr>
  </property>
</Properties>
</file>