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33E" w:rsidRPr="00C26D56" w:rsidRDefault="000B133E" w:rsidP="000B133E">
      <w:pPr>
        <w:jc w:val="center"/>
        <w:rPr>
          <w:b/>
          <w:sz w:val="36"/>
          <w:szCs w:val="36"/>
        </w:rPr>
      </w:pPr>
      <w:r w:rsidRPr="00C26D56">
        <w:rPr>
          <w:rFonts w:hint="eastAsia"/>
          <w:b/>
          <w:sz w:val="36"/>
          <w:szCs w:val="36"/>
        </w:rPr>
        <w:t>乌海银行“乌银利鑫系列</w:t>
      </w:r>
      <w:r w:rsidR="000C381F">
        <w:rPr>
          <w:rFonts w:hint="eastAsia"/>
          <w:b/>
          <w:sz w:val="36"/>
          <w:szCs w:val="36"/>
        </w:rPr>
        <w:t>2021</w:t>
      </w:r>
      <w:r w:rsidRPr="00C26D56">
        <w:rPr>
          <w:rFonts w:hint="eastAsia"/>
          <w:b/>
          <w:sz w:val="36"/>
          <w:szCs w:val="36"/>
        </w:rPr>
        <w:t>年</w:t>
      </w:r>
      <w:r w:rsidR="008D49B3">
        <w:rPr>
          <w:rFonts w:hint="eastAsia"/>
          <w:b/>
          <w:sz w:val="36"/>
          <w:szCs w:val="36"/>
        </w:rPr>
        <w:t>第</w:t>
      </w:r>
      <w:r w:rsidR="00731B73">
        <w:rPr>
          <w:rFonts w:hint="eastAsia"/>
          <w:b/>
          <w:sz w:val="36"/>
          <w:szCs w:val="36"/>
        </w:rPr>
        <w:t>42</w:t>
      </w:r>
      <w:r w:rsidR="008D49B3">
        <w:rPr>
          <w:rFonts w:hint="eastAsia"/>
          <w:b/>
          <w:sz w:val="36"/>
          <w:szCs w:val="36"/>
        </w:rPr>
        <w:t>期</w:t>
      </w:r>
      <w:r w:rsidRPr="00C26D56">
        <w:rPr>
          <w:rFonts w:hint="eastAsia"/>
          <w:b/>
          <w:sz w:val="36"/>
          <w:szCs w:val="36"/>
        </w:rPr>
        <w:t>”封闭式净值型理财产品</w:t>
      </w:r>
      <w:r w:rsidR="00812D23">
        <w:rPr>
          <w:rFonts w:hint="eastAsia"/>
          <w:b/>
          <w:sz w:val="36"/>
          <w:szCs w:val="36"/>
        </w:rPr>
        <w:t>2021</w:t>
      </w:r>
      <w:r w:rsidRPr="00C26D56">
        <w:rPr>
          <w:rFonts w:hint="eastAsia"/>
          <w:b/>
          <w:sz w:val="36"/>
          <w:szCs w:val="36"/>
        </w:rPr>
        <w:t>年第</w:t>
      </w:r>
      <w:r w:rsidR="000E6514">
        <w:rPr>
          <w:rFonts w:hint="eastAsia"/>
          <w:b/>
          <w:sz w:val="36"/>
          <w:szCs w:val="36"/>
        </w:rPr>
        <w:t>二</w:t>
      </w:r>
      <w:r>
        <w:rPr>
          <w:rFonts w:hint="eastAsia"/>
          <w:b/>
          <w:sz w:val="36"/>
          <w:szCs w:val="36"/>
        </w:rPr>
        <w:t>季度</w:t>
      </w:r>
      <w:r w:rsidRPr="00C26D56">
        <w:rPr>
          <w:rFonts w:hint="eastAsia"/>
          <w:b/>
          <w:sz w:val="36"/>
          <w:szCs w:val="36"/>
        </w:rPr>
        <w:t>报告</w:t>
      </w:r>
    </w:p>
    <w:p w:rsidR="000B133E" w:rsidRDefault="000B133E" w:rsidP="000B133E">
      <w:pPr>
        <w:pStyle w:val="TOC"/>
      </w:pPr>
    </w:p>
    <w:p w:rsidR="000B133E" w:rsidRPr="003B45F3" w:rsidRDefault="000B133E" w:rsidP="000B133E">
      <w:pPr>
        <w:pStyle w:val="10"/>
        <w:adjustRightInd w:val="0"/>
        <w:snapToGrid w:val="0"/>
        <w:spacing w:line="360" w:lineRule="auto"/>
        <w:rPr>
          <w:rFonts w:ascii="仿宋" w:eastAsia="仿宋" w:hAnsi="仿宋"/>
          <w:b/>
          <w:sz w:val="32"/>
          <w:szCs w:val="32"/>
          <w:lang w:val="zh-CN"/>
        </w:rPr>
      </w:pPr>
      <w:r w:rsidRPr="003B45F3">
        <w:rPr>
          <w:rFonts w:ascii="仿宋" w:eastAsia="仿宋" w:hAnsi="仿宋" w:hint="eastAsia"/>
          <w:b/>
          <w:sz w:val="32"/>
          <w:szCs w:val="32"/>
        </w:rPr>
        <w:t>一.目录</w:t>
      </w:r>
      <w:r w:rsidRPr="003B45F3">
        <w:rPr>
          <w:rFonts w:ascii="仿宋" w:eastAsia="仿宋" w:hAnsi="仿宋"/>
          <w:b/>
          <w:sz w:val="32"/>
          <w:szCs w:val="32"/>
        </w:rPr>
        <w:t xml:space="preserve"> </w:t>
      </w:r>
      <w:r w:rsidRPr="003B45F3">
        <w:rPr>
          <w:rFonts w:ascii="仿宋" w:eastAsia="仿宋" w:hAnsi="仿宋"/>
          <w:b/>
          <w:sz w:val="32"/>
          <w:szCs w:val="32"/>
        </w:rPr>
        <w:ptab w:relativeTo="margin" w:alignment="right" w:leader="dot"/>
      </w:r>
      <w:r w:rsidRPr="003B45F3">
        <w:rPr>
          <w:rFonts w:ascii="仿宋" w:eastAsia="仿宋" w:hAnsi="仿宋"/>
          <w:b/>
          <w:sz w:val="32"/>
          <w:szCs w:val="32"/>
          <w:lang w:val="zh-CN"/>
        </w:rPr>
        <w:t>1</w:t>
      </w:r>
    </w:p>
    <w:p w:rsidR="000B133E" w:rsidRPr="003B45F3" w:rsidRDefault="000B133E" w:rsidP="000B133E">
      <w:pPr>
        <w:pStyle w:val="10"/>
        <w:adjustRightInd w:val="0"/>
        <w:snapToGrid w:val="0"/>
        <w:spacing w:line="360" w:lineRule="auto"/>
        <w:rPr>
          <w:rFonts w:ascii="仿宋" w:eastAsia="仿宋" w:hAnsi="仿宋"/>
          <w:b/>
          <w:sz w:val="32"/>
          <w:szCs w:val="32"/>
        </w:rPr>
      </w:pPr>
      <w:r w:rsidRPr="003B45F3">
        <w:rPr>
          <w:rFonts w:ascii="仿宋" w:eastAsia="仿宋" w:hAnsi="仿宋" w:hint="eastAsia"/>
          <w:b/>
          <w:sz w:val="32"/>
          <w:szCs w:val="32"/>
        </w:rPr>
        <w:t>二.重要提示</w:t>
      </w:r>
      <w:r w:rsidRPr="003B45F3">
        <w:rPr>
          <w:rFonts w:ascii="仿宋" w:eastAsia="仿宋" w:hAnsi="仿宋"/>
          <w:b/>
          <w:sz w:val="32"/>
          <w:szCs w:val="32"/>
        </w:rPr>
        <w:t xml:space="preserve"> </w:t>
      </w:r>
      <w:r w:rsidRPr="003B45F3">
        <w:rPr>
          <w:rFonts w:ascii="仿宋" w:eastAsia="仿宋" w:hAnsi="仿宋"/>
          <w:b/>
          <w:sz w:val="32"/>
          <w:szCs w:val="32"/>
        </w:rPr>
        <w:ptab w:relativeTo="margin" w:alignment="right" w:leader="dot"/>
      </w:r>
      <w:r>
        <w:rPr>
          <w:rFonts w:ascii="仿宋" w:eastAsia="仿宋" w:hAnsi="仿宋" w:hint="eastAsia"/>
          <w:b/>
          <w:sz w:val="32"/>
          <w:szCs w:val="32"/>
          <w:lang w:val="zh-CN"/>
        </w:rPr>
        <w:t>2</w:t>
      </w:r>
    </w:p>
    <w:p w:rsidR="000B133E" w:rsidRPr="003B45F3" w:rsidRDefault="000B133E" w:rsidP="000B133E">
      <w:pPr>
        <w:adjustRightInd w:val="0"/>
        <w:snapToGrid w:val="0"/>
        <w:spacing w:line="360" w:lineRule="auto"/>
        <w:rPr>
          <w:b/>
          <w:sz w:val="32"/>
          <w:szCs w:val="32"/>
        </w:rPr>
      </w:pPr>
      <w:r w:rsidRPr="003B45F3">
        <w:rPr>
          <w:rFonts w:hint="eastAsia"/>
          <w:b/>
          <w:sz w:val="32"/>
          <w:szCs w:val="32"/>
        </w:rPr>
        <w:t>三</w:t>
      </w:r>
      <w:r>
        <w:rPr>
          <w:rFonts w:hint="eastAsia"/>
          <w:b/>
          <w:sz w:val="32"/>
          <w:szCs w:val="32"/>
        </w:rPr>
        <w:t>.</w:t>
      </w:r>
      <w:r w:rsidRPr="003B45F3">
        <w:rPr>
          <w:rFonts w:hint="eastAsia"/>
          <w:b/>
          <w:sz w:val="32"/>
          <w:szCs w:val="32"/>
        </w:rPr>
        <w:t>产品基本信息</w:t>
      </w:r>
      <w:r w:rsidRPr="003B45F3">
        <w:rPr>
          <w:b/>
          <w:sz w:val="32"/>
          <w:szCs w:val="32"/>
        </w:rPr>
        <w:ptab w:relativeTo="margin" w:alignment="right" w:leader="dot"/>
      </w:r>
      <w:r w:rsidR="00C90A0F">
        <w:rPr>
          <w:rFonts w:hint="eastAsia"/>
          <w:b/>
          <w:sz w:val="32"/>
          <w:szCs w:val="32"/>
        </w:rPr>
        <w:t>2</w:t>
      </w:r>
    </w:p>
    <w:p w:rsidR="000B133E" w:rsidRPr="003B45F3" w:rsidRDefault="000B133E" w:rsidP="000B133E">
      <w:pPr>
        <w:adjustRightInd w:val="0"/>
        <w:snapToGrid w:val="0"/>
        <w:spacing w:line="360" w:lineRule="auto"/>
        <w:rPr>
          <w:b/>
          <w:sz w:val="32"/>
          <w:szCs w:val="32"/>
        </w:rPr>
      </w:pPr>
      <w:r w:rsidRPr="003B45F3">
        <w:rPr>
          <w:rFonts w:hint="eastAsia"/>
          <w:b/>
          <w:sz w:val="32"/>
          <w:szCs w:val="32"/>
        </w:rPr>
        <w:t>四</w:t>
      </w:r>
      <w:r>
        <w:rPr>
          <w:rFonts w:hint="eastAsia"/>
          <w:b/>
          <w:sz w:val="32"/>
          <w:szCs w:val="32"/>
        </w:rPr>
        <w:t>.</w:t>
      </w:r>
      <w:r w:rsidRPr="003B45F3">
        <w:rPr>
          <w:rFonts w:hint="eastAsia"/>
          <w:b/>
          <w:sz w:val="32"/>
          <w:szCs w:val="32"/>
        </w:rPr>
        <w:t>产品收益表现</w:t>
      </w:r>
      <w:r w:rsidRPr="003B45F3">
        <w:rPr>
          <w:b/>
          <w:sz w:val="32"/>
          <w:szCs w:val="32"/>
        </w:rPr>
        <w:ptab w:relativeTo="margin" w:alignment="right" w:leader="dot"/>
      </w:r>
      <w:r w:rsidR="00C90A0F">
        <w:rPr>
          <w:rFonts w:hint="eastAsia"/>
          <w:b/>
          <w:sz w:val="32"/>
          <w:szCs w:val="32"/>
        </w:rPr>
        <w:t>3</w:t>
      </w:r>
    </w:p>
    <w:p w:rsidR="000B133E" w:rsidRPr="003B45F3" w:rsidRDefault="000B133E" w:rsidP="000B133E">
      <w:pPr>
        <w:adjustRightInd w:val="0"/>
        <w:snapToGrid w:val="0"/>
        <w:spacing w:line="360" w:lineRule="auto"/>
        <w:rPr>
          <w:b/>
          <w:sz w:val="32"/>
          <w:szCs w:val="32"/>
        </w:rPr>
      </w:pPr>
      <w:r w:rsidRPr="003B45F3">
        <w:rPr>
          <w:rFonts w:hint="eastAsia"/>
          <w:b/>
          <w:sz w:val="32"/>
          <w:szCs w:val="32"/>
        </w:rPr>
        <w:t>五</w:t>
      </w:r>
      <w:r>
        <w:rPr>
          <w:rFonts w:hint="eastAsia"/>
          <w:b/>
          <w:sz w:val="32"/>
          <w:szCs w:val="32"/>
        </w:rPr>
        <w:t>.</w:t>
      </w:r>
      <w:r w:rsidRPr="003B45F3">
        <w:rPr>
          <w:rFonts w:hint="eastAsia"/>
          <w:b/>
          <w:sz w:val="32"/>
          <w:szCs w:val="32"/>
        </w:rPr>
        <w:t>报告期内产品的投资策略和运作分析</w:t>
      </w:r>
      <w:r w:rsidRPr="003B45F3">
        <w:rPr>
          <w:b/>
          <w:sz w:val="32"/>
          <w:szCs w:val="32"/>
        </w:rPr>
        <w:ptab w:relativeTo="margin" w:alignment="right" w:leader="dot"/>
      </w:r>
      <w:r w:rsidR="00C90A0F">
        <w:rPr>
          <w:rFonts w:hint="eastAsia"/>
          <w:b/>
          <w:sz w:val="32"/>
          <w:szCs w:val="32"/>
        </w:rPr>
        <w:t>3</w:t>
      </w:r>
    </w:p>
    <w:p w:rsidR="000B133E" w:rsidRPr="0037500B" w:rsidRDefault="000B133E" w:rsidP="000B133E">
      <w:pPr>
        <w:adjustRightInd w:val="0"/>
        <w:snapToGrid w:val="0"/>
        <w:spacing w:line="360" w:lineRule="auto"/>
        <w:rPr>
          <w:sz w:val="36"/>
          <w:szCs w:val="36"/>
        </w:rPr>
      </w:pPr>
      <w:r w:rsidRPr="003B45F3">
        <w:rPr>
          <w:rFonts w:hint="eastAsia"/>
          <w:b/>
          <w:sz w:val="32"/>
          <w:szCs w:val="32"/>
        </w:rPr>
        <w:t>六</w:t>
      </w:r>
      <w:r>
        <w:rPr>
          <w:rFonts w:hint="eastAsia"/>
          <w:b/>
          <w:sz w:val="32"/>
          <w:szCs w:val="32"/>
        </w:rPr>
        <w:t>.</w:t>
      </w:r>
      <w:r w:rsidRPr="003B45F3">
        <w:rPr>
          <w:rFonts w:hint="eastAsia"/>
          <w:b/>
          <w:sz w:val="32"/>
          <w:szCs w:val="32"/>
        </w:rPr>
        <w:t>投资组合情况</w:t>
      </w:r>
      <w:r w:rsidRPr="003B45F3">
        <w:rPr>
          <w:b/>
          <w:sz w:val="32"/>
          <w:szCs w:val="32"/>
        </w:rPr>
        <w:ptab w:relativeTo="margin" w:alignment="right" w:leader="dot"/>
      </w:r>
      <w:r w:rsidR="00C90A0F">
        <w:rPr>
          <w:rFonts w:hint="eastAsia"/>
          <w:b/>
          <w:sz w:val="32"/>
          <w:szCs w:val="32"/>
        </w:rPr>
        <w:t>4</w:t>
      </w:r>
    </w:p>
    <w:p w:rsidR="000B133E" w:rsidRPr="003B45F3" w:rsidRDefault="000B133E" w:rsidP="000B133E">
      <w:pPr>
        <w:pStyle w:val="2"/>
        <w:adjustRightInd w:val="0"/>
        <w:snapToGrid w:val="0"/>
        <w:spacing w:line="360" w:lineRule="auto"/>
        <w:ind w:left="216"/>
        <w:rPr>
          <w:sz w:val="30"/>
          <w:szCs w:val="30"/>
        </w:rPr>
      </w:pPr>
      <w:r w:rsidRPr="003B45F3">
        <w:rPr>
          <w:rFonts w:hint="eastAsia"/>
          <w:sz w:val="30"/>
          <w:szCs w:val="30"/>
        </w:rPr>
        <w:t>1.</w:t>
      </w:r>
      <w:r w:rsidRPr="003B45F3">
        <w:rPr>
          <w:rFonts w:hint="eastAsia"/>
          <w:sz w:val="30"/>
          <w:szCs w:val="30"/>
        </w:rPr>
        <w:t>报告期末产品资产组合情况</w:t>
      </w:r>
      <w:r w:rsidRPr="003B45F3">
        <w:rPr>
          <w:sz w:val="30"/>
          <w:szCs w:val="30"/>
        </w:rPr>
        <w:t xml:space="preserve"> </w:t>
      </w:r>
      <w:r w:rsidRPr="003B45F3">
        <w:rPr>
          <w:sz w:val="30"/>
          <w:szCs w:val="30"/>
        </w:rPr>
        <w:ptab w:relativeTo="margin" w:alignment="right" w:leader="dot"/>
      </w:r>
      <w:r w:rsidR="00C90A0F">
        <w:rPr>
          <w:rFonts w:hint="eastAsia"/>
          <w:sz w:val="30"/>
          <w:szCs w:val="30"/>
          <w:lang w:val="zh-CN"/>
        </w:rPr>
        <w:t>4</w:t>
      </w:r>
    </w:p>
    <w:p w:rsidR="000B133E" w:rsidRPr="003B45F3" w:rsidRDefault="000B133E" w:rsidP="000B133E">
      <w:pPr>
        <w:pStyle w:val="2"/>
        <w:adjustRightInd w:val="0"/>
        <w:snapToGrid w:val="0"/>
        <w:spacing w:line="360" w:lineRule="auto"/>
        <w:ind w:left="216"/>
        <w:rPr>
          <w:sz w:val="30"/>
          <w:szCs w:val="30"/>
        </w:rPr>
      </w:pPr>
      <w:r w:rsidRPr="003B45F3">
        <w:rPr>
          <w:rFonts w:hint="eastAsia"/>
          <w:sz w:val="30"/>
          <w:szCs w:val="30"/>
        </w:rPr>
        <w:t>2.</w:t>
      </w:r>
      <w:r w:rsidRPr="003B45F3">
        <w:rPr>
          <w:rFonts w:hint="eastAsia"/>
          <w:sz w:val="30"/>
          <w:szCs w:val="30"/>
        </w:rPr>
        <w:t>报告期末杠杆融资情况</w:t>
      </w:r>
      <w:r w:rsidRPr="003B45F3">
        <w:rPr>
          <w:sz w:val="30"/>
          <w:szCs w:val="30"/>
        </w:rPr>
        <w:t xml:space="preserve"> </w:t>
      </w:r>
      <w:r w:rsidRPr="003B45F3">
        <w:rPr>
          <w:sz w:val="30"/>
          <w:szCs w:val="30"/>
        </w:rPr>
        <w:ptab w:relativeTo="margin" w:alignment="right" w:leader="dot"/>
      </w:r>
      <w:r w:rsidR="00C90A0F">
        <w:rPr>
          <w:rFonts w:hint="eastAsia"/>
          <w:sz w:val="30"/>
          <w:szCs w:val="30"/>
          <w:lang w:val="zh-CN"/>
        </w:rPr>
        <w:t>4</w:t>
      </w:r>
    </w:p>
    <w:p w:rsidR="000B133E" w:rsidRPr="003B45F3" w:rsidRDefault="000B133E" w:rsidP="000B133E">
      <w:pPr>
        <w:pStyle w:val="2"/>
        <w:adjustRightInd w:val="0"/>
        <w:snapToGrid w:val="0"/>
        <w:spacing w:line="360" w:lineRule="auto"/>
        <w:ind w:left="216"/>
        <w:rPr>
          <w:sz w:val="30"/>
          <w:szCs w:val="30"/>
        </w:rPr>
      </w:pPr>
      <w:r w:rsidRPr="003B45F3">
        <w:rPr>
          <w:rFonts w:hint="eastAsia"/>
          <w:sz w:val="30"/>
          <w:szCs w:val="30"/>
        </w:rPr>
        <w:t>3.</w:t>
      </w:r>
      <w:r w:rsidRPr="003B45F3">
        <w:rPr>
          <w:rFonts w:hint="eastAsia"/>
          <w:sz w:val="30"/>
          <w:szCs w:val="30"/>
        </w:rPr>
        <w:t>报告期末资产持仓前十基本信息</w:t>
      </w:r>
      <w:r w:rsidRPr="003B45F3">
        <w:rPr>
          <w:sz w:val="30"/>
          <w:szCs w:val="30"/>
        </w:rPr>
        <w:ptab w:relativeTo="margin" w:alignment="right" w:leader="dot"/>
      </w:r>
      <w:r w:rsidR="00C90A0F">
        <w:rPr>
          <w:rFonts w:hint="eastAsia"/>
          <w:sz w:val="30"/>
          <w:szCs w:val="30"/>
          <w:lang w:val="zh-CN"/>
        </w:rPr>
        <w:t>4</w:t>
      </w:r>
    </w:p>
    <w:p w:rsidR="001A0A7B" w:rsidRDefault="001A0A7B">
      <w:pPr>
        <w:rPr>
          <w:lang w:val="en-US"/>
        </w:rPr>
      </w:pPr>
    </w:p>
    <w:p w:rsidR="000B133E" w:rsidRPr="00C90A0F"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Pr="000B133E" w:rsidRDefault="000B133E" w:rsidP="000B133E">
      <w:pPr>
        <w:pStyle w:val="a5"/>
        <w:numPr>
          <w:ilvl w:val="0"/>
          <w:numId w:val="3"/>
        </w:numPr>
        <w:spacing w:line="492" w:lineRule="exact"/>
        <w:rPr>
          <w:rFonts w:ascii="仿宋" w:eastAsia="仿宋" w:hAnsi="仿宋"/>
          <w:b/>
          <w:sz w:val="30"/>
        </w:rPr>
      </w:pPr>
      <w:r w:rsidRPr="000B133E">
        <w:rPr>
          <w:rFonts w:ascii="仿宋" w:eastAsia="仿宋" w:hAnsi="仿宋" w:hint="eastAsia"/>
          <w:b/>
          <w:sz w:val="30"/>
        </w:rPr>
        <w:lastRenderedPageBreak/>
        <w:t>重要提示：</w:t>
      </w:r>
    </w:p>
    <w:p w:rsidR="000B133E" w:rsidRPr="000B133E" w:rsidRDefault="000B133E" w:rsidP="000B133E">
      <w:pPr>
        <w:spacing w:line="492" w:lineRule="exact"/>
        <w:rPr>
          <w:rFonts w:asciiTheme="minorEastAsia" w:eastAsiaTheme="minorEastAsia" w:hAnsiTheme="minorEastAsia"/>
          <w:sz w:val="28"/>
          <w:szCs w:val="28"/>
        </w:rPr>
      </w:pPr>
      <w:r w:rsidRPr="000B133E">
        <w:rPr>
          <w:rFonts w:asciiTheme="minorEastAsia" w:eastAsiaTheme="minorEastAsia" w:hAnsiTheme="minorEastAsia" w:hint="eastAsia"/>
          <w:sz w:val="28"/>
          <w:szCs w:val="28"/>
        </w:rPr>
        <w:t>1.温馨提醒：理财非存款，产品有风险，投资需谨慎。</w:t>
      </w:r>
    </w:p>
    <w:p w:rsidR="000B133E" w:rsidRPr="000B133E" w:rsidRDefault="000B133E" w:rsidP="000B133E">
      <w:pPr>
        <w:spacing w:line="492" w:lineRule="exact"/>
        <w:rPr>
          <w:rFonts w:asciiTheme="minorEastAsia" w:eastAsiaTheme="minorEastAsia" w:hAnsiTheme="minorEastAsia"/>
          <w:sz w:val="28"/>
          <w:szCs w:val="28"/>
        </w:rPr>
      </w:pPr>
      <w:r w:rsidRPr="000B133E">
        <w:rPr>
          <w:rFonts w:asciiTheme="minorEastAsia" w:eastAsiaTheme="minorEastAsia" w:hAnsiTheme="minorEastAsia" w:hint="eastAsia"/>
          <w:sz w:val="28"/>
          <w:szCs w:val="28"/>
        </w:rPr>
        <w:t>2.</w:t>
      </w:r>
      <w:r w:rsidRPr="000B133E">
        <w:rPr>
          <w:rFonts w:asciiTheme="minorEastAsia" w:eastAsiaTheme="minorEastAsia" w:hAnsiTheme="minorEastAsia"/>
          <w:spacing w:val="-9"/>
          <w:sz w:val="28"/>
          <w:szCs w:val="28"/>
        </w:rPr>
        <w:t>理财信息可供参考，详情请咨询理财销售人员，</w:t>
      </w:r>
      <w:r w:rsidRPr="000B133E">
        <w:rPr>
          <w:rFonts w:asciiTheme="minorEastAsia" w:eastAsiaTheme="minorEastAsia" w:hAnsiTheme="minorEastAsia" w:hint="eastAsia"/>
          <w:spacing w:val="-9"/>
          <w:sz w:val="28"/>
          <w:szCs w:val="28"/>
        </w:rPr>
        <w:t>或在“中国理财网（</w:t>
      </w:r>
      <w:hyperlink r:id="rId7">
        <w:r w:rsidRPr="000B133E">
          <w:rPr>
            <w:rFonts w:asciiTheme="minorEastAsia" w:eastAsiaTheme="minorEastAsia" w:hAnsiTheme="minorEastAsia"/>
            <w:spacing w:val="-2"/>
            <w:sz w:val="28"/>
            <w:szCs w:val="28"/>
          </w:rPr>
          <w:t>w</w:t>
        </w:r>
        <w:r w:rsidRPr="000B133E">
          <w:rPr>
            <w:rFonts w:asciiTheme="minorEastAsia" w:eastAsiaTheme="minorEastAsia" w:hAnsiTheme="minorEastAsia"/>
            <w:sz w:val="28"/>
            <w:szCs w:val="28"/>
          </w:rPr>
          <w:t>w</w:t>
        </w:r>
        <w:r w:rsidRPr="000B133E">
          <w:rPr>
            <w:rFonts w:asciiTheme="minorEastAsia" w:eastAsiaTheme="minorEastAsia" w:hAnsiTheme="minorEastAsia"/>
            <w:spacing w:val="-2"/>
            <w:sz w:val="28"/>
            <w:szCs w:val="28"/>
          </w:rPr>
          <w:t>w</w:t>
        </w:r>
        <w:r w:rsidRPr="000B133E">
          <w:rPr>
            <w:rFonts w:asciiTheme="minorEastAsia" w:eastAsiaTheme="minorEastAsia" w:hAnsiTheme="minorEastAsia"/>
            <w:sz w:val="28"/>
            <w:szCs w:val="28"/>
          </w:rPr>
          <w:t>.</w:t>
        </w:r>
        <w:r w:rsidRPr="000B133E">
          <w:rPr>
            <w:rFonts w:asciiTheme="minorEastAsia" w:eastAsiaTheme="minorEastAsia" w:hAnsiTheme="minorEastAsia"/>
            <w:spacing w:val="-2"/>
            <w:sz w:val="28"/>
            <w:szCs w:val="28"/>
          </w:rPr>
          <w:t>c</w:t>
        </w:r>
        <w:r w:rsidRPr="000B133E">
          <w:rPr>
            <w:rFonts w:asciiTheme="minorEastAsia" w:eastAsiaTheme="minorEastAsia" w:hAnsiTheme="minorEastAsia"/>
            <w:sz w:val="28"/>
            <w:szCs w:val="28"/>
          </w:rPr>
          <w:t>h</w:t>
        </w:r>
        <w:r w:rsidRPr="000B133E">
          <w:rPr>
            <w:rFonts w:asciiTheme="minorEastAsia" w:eastAsiaTheme="minorEastAsia" w:hAnsiTheme="minorEastAsia"/>
            <w:spacing w:val="-2"/>
            <w:sz w:val="28"/>
            <w:szCs w:val="28"/>
          </w:rPr>
          <w:t>i</w:t>
        </w:r>
        <w:r w:rsidRPr="000B133E">
          <w:rPr>
            <w:rFonts w:asciiTheme="minorEastAsia" w:eastAsiaTheme="minorEastAsia" w:hAnsiTheme="minorEastAsia"/>
            <w:sz w:val="28"/>
            <w:szCs w:val="28"/>
          </w:rPr>
          <w:t>n</w:t>
        </w:r>
        <w:r w:rsidRPr="000B133E">
          <w:rPr>
            <w:rFonts w:asciiTheme="minorEastAsia" w:eastAsiaTheme="minorEastAsia" w:hAnsiTheme="minorEastAsia"/>
            <w:spacing w:val="-2"/>
            <w:sz w:val="28"/>
            <w:szCs w:val="28"/>
          </w:rPr>
          <w:t>aw</w:t>
        </w:r>
        <w:r w:rsidRPr="000B133E">
          <w:rPr>
            <w:rFonts w:asciiTheme="minorEastAsia" w:eastAsiaTheme="minorEastAsia" w:hAnsiTheme="minorEastAsia"/>
            <w:sz w:val="28"/>
            <w:szCs w:val="28"/>
          </w:rPr>
          <w:t>ea</w:t>
        </w:r>
        <w:r w:rsidRPr="000B133E">
          <w:rPr>
            <w:rFonts w:asciiTheme="minorEastAsia" w:eastAsiaTheme="minorEastAsia" w:hAnsiTheme="minorEastAsia"/>
            <w:spacing w:val="-2"/>
            <w:sz w:val="28"/>
            <w:szCs w:val="28"/>
          </w:rPr>
          <w:t>l</w:t>
        </w:r>
        <w:r w:rsidRPr="000B133E">
          <w:rPr>
            <w:rFonts w:asciiTheme="minorEastAsia" w:eastAsiaTheme="minorEastAsia" w:hAnsiTheme="minorEastAsia"/>
            <w:sz w:val="28"/>
            <w:szCs w:val="28"/>
          </w:rPr>
          <w:t>t</w:t>
        </w:r>
        <w:r w:rsidRPr="000B133E">
          <w:rPr>
            <w:rFonts w:asciiTheme="minorEastAsia" w:eastAsiaTheme="minorEastAsia" w:hAnsiTheme="minorEastAsia"/>
            <w:spacing w:val="-2"/>
            <w:sz w:val="28"/>
            <w:szCs w:val="28"/>
          </w:rPr>
          <w:t>h</w:t>
        </w:r>
        <w:r w:rsidRPr="000B133E">
          <w:rPr>
            <w:rFonts w:asciiTheme="minorEastAsia" w:eastAsiaTheme="minorEastAsia" w:hAnsiTheme="minorEastAsia"/>
            <w:sz w:val="28"/>
            <w:szCs w:val="28"/>
          </w:rPr>
          <w:t>.</w:t>
        </w:r>
        <w:r w:rsidRPr="000B133E">
          <w:rPr>
            <w:rFonts w:asciiTheme="minorEastAsia" w:eastAsiaTheme="minorEastAsia" w:hAnsiTheme="minorEastAsia"/>
            <w:spacing w:val="-2"/>
            <w:sz w:val="28"/>
            <w:szCs w:val="28"/>
          </w:rPr>
          <w:t>c</w:t>
        </w:r>
        <w:r w:rsidRPr="000B133E">
          <w:rPr>
            <w:rFonts w:asciiTheme="minorEastAsia" w:eastAsiaTheme="minorEastAsia" w:hAnsiTheme="minorEastAsia"/>
            <w:sz w:val="28"/>
            <w:szCs w:val="28"/>
          </w:rPr>
          <w:t>o</w:t>
        </w:r>
        <w:r w:rsidRPr="000B133E">
          <w:rPr>
            <w:rFonts w:asciiTheme="minorEastAsia" w:eastAsiaTheme="minorEastAsia" w:hAnsiTheme="minorEastAsia"/>
            <w:spacing w:val="-2"/>
            <w:sz w:val="28"/>
            <w:szCs w:val="28"/>
          </w:rPr>
          <w:t>m</w:t>
        </w:r>
        <w:r w:rsidRPr="000B133E">
          <w:rPr>
            <w:rFonts w:asciiTheme="minorEastAsia" w:eastAsiaTheme="minorEastAsia" w:hAnsiTheme="minorEastAsia"/>
            <w:sz w:val="28"/>
            <w:szCs w:val="28"/>
          </w:rPr>
          <w:t>.</w:t>
        </w:r>
        <w:r w:rsidRPr="000B133E">
          <w:rPr>
            <w:rFonts w:asciiTheme="minorEastAsia" w:eastAsiaTheme="minorEastAsia" w:hAnsiTheme="minorEastAsia"/>
            <w:spacing w:val="-2"/>
            <w:sz w:val="28"/>
            <w:szCs w:val="28"/>
          </w:rPr>
          <w:t>c</w:t>
        </w:r>
        <w:r w:rsidRPr="000B133E">
          <w:rPr>
            <w:rFonts w:asciiTheme="minorEastAsia" w:eastAsiaTheme="minorEastAsia" w:hAnsiTheme="minorEastAsia"/>
            <w:spacing w:val="4"/>
            <w:sz w:val="28"/>
            <w:szCs w:val="28"/>
          </w:rPr>
          <w:t>n</w:t>
        </w:r>
      </w:hyperlink>
      <w:r w:rsidRPr="000B133E">
        <w:rPr>
          <w:rFonts w:asciiTheme="minorEastAsia" w:eastAsiaTheme="minorEastAsia" w:hAnsiTheme="minorEastAsia" w:hint="eastAsia"/>
          <w:spacing w:val="-9"/>
          <w:sz w:val="28"/>
          <w:szCs w:val="28"/>
        </w:rPr>
        <w:t>）”</w:t>
      </w:r>
      <w:r w:rsidRPr="000B133E">
        <w:rPr>
          <w:rFonts w:asciiTheme="minorEastAsia" w:eastAsiaTheme="minorEastAsia" w:hAnsiTheme="minorEastAsia"/>
          <w:sz w:val="28"/>
          <w:szCs w:val="28"/>
        </w:rPr>
        <w:t xml:space="preserve"> 查询该产品相关信息</w:t>
      </w:r>
      <w:r w:rsidRPr="000B133E">
        <w:rPr>
          <w:rFonts w:asciiTheme="minorEastAsia" w:eastAsiaTheme="minorEastAsia" w:hAnsiTheme="minorEastAsia" w:hint="eastAsia"/>
          <w:sz w:val="28"/>
          <w:szCs w:val="28"/>
        </w:rPr>
        <w:t>。</w:t>
      </w:r>
    </w:p>
    <w:p w:rsidR="000B133E" w:rsidRPr="000B133E" w:rsidRDefault="000B133E" w:rsidP="000B133E">
      <w:pPr>
        <w:spacing w:line="492" w:lineRule="exact"/>
        <w:rPr>
          <w:rFonts w:asciiTheme="minorEastAsia" w:eastAsiaTheme="minorEastAsia" w:hAnsiTheme="minorEastAsia"/>
          <w:sz w:val="28"/>
          <w:szCs w:val="28"/>
        </w:rPr>
      </w:pPr>
      <w:r w:rsidRPr="000B133E">
        <w:rPr>
          <w:rFonts w:asciiTheme="minorEastAsia" w:eastAsiaTheme="minorEastAsia" w:hAnsiTheme="minorEastAsia" w:hint="eastAsia"/>
          <w:sz w:val="28"/>
          <w:szCs w:val="28"/>
        </w:rPr>
        <w:t>3.</w:t>
      </w:r>
      <w:r w:rsidRPr="000B133E">
        <w:rPr>
          <w:rFonts w:asciiTheme="minorEastAsia" w:eastAsiaTheme="minorEastAsia" w:hAnsiTheme="minorEastAsia" w:hint="eastAsia"/>
          <w:spacing w:val="-1"/>
          <w:sz w:val="28"/>
          <w:szCs w:val="28"/>
        </w:rPr>
        <w:t>乌海</w:t>
      </w:r>
      <w:r w:rsidRPr="000B133E">
        <w:rPr>
          <w:rFonts w:asciiTheme="minorEastAsia" w:eastAsiaTheme="minorEastAsia" w:hAnsiTheme="minorEastAsia"/>
          <w:spacing w:val="-1"/>
          <w:sz w:val="28"/>
          <w:szCs w:val="28"/>
        </w:rPr>
        <w:t>银行股份有限公司保留对所有文字说明的最终解释权</w:t>
      </w:r>
      <w:r w:rsidRPr="000B133E">
        <w:rPr>
          <w:rFonts w:asciiTheme="minorEastAsia" w:eastAsiaTheme="minorEastAsia" w:hAnsiTheme="minorEastAsia" w:hint="eastAsia"/>
          <w:spacing w:val="-1"/>
          <w:sz w:val="28"/>
          <w:szCs w:val="28"/>
        </w:rPr>
        <w:t>。</w:t>
      </w:r>
    </w:p>
    <w:p w:rsidR="000B133E" w:rsidRPr="000B133E" w:rsidRDefault="000B133E" w:rsidP="000B133E">
      <w:pPr>
        <w:pStyle w:val="a5"/>
        <w:numPr>
          <w:ilvl w:val="0"/>
          <w:numId w:val="3"/>
        </w:numPr>
        <w:spacing w:line="492" w:lineRule="exact"/>
        <w:rPr>
          <w:rFonts w:ascii="仿宋" w:eastAsia="仿宋" w:hAnsi="仿宋"/>
          <w:b/>
          <w:sz w:val="30"/>
        </w:rPr>
      </w:pPr>
      <w:r w:rsidRPr="000B133E">
        <w:rPr>
          <w:rFonts w:ascii="仿宋" w:eastAsia="仿宋" w:hAnsi="仿宋" w:hint="eastAsia"/>
          <w:b/>
          <w:sz w:val="30"/>
        </w:rPr>
        <w:t>产品基本信息：</w:t>
      </w:r>
    </w:p>
    <w:tbl>
      <w:tblPr>
        <w:tblW w:w="8670" w:type="dxa"/>
        <w:tblInd w:w="93" w:type="dxa"/>
        <w:tblLook w:val="04A0"/>
      </w:tblPr>
      <w:tblGrid>
        <w:gridCol w:w="2992"/>
        <w:gridCol w:w="5678"/>
      </w:tblGrid>
      <w:tr w:rsidR="00B03613" w:rsidRPr="00B03613" w:rsidTr="00B03613">
        <w:trPr>
          <w:trHeight w:val="285"/>
        </w:trPr>
        <w:tc>
          <w:tcPr>
            <w:tcW w:w="2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产品名称</w:t>
            </w:r>
          </w:p>
        </w:tc>
        <w:tc>
          <w:tcPr>
            <w:tcW w:w="5678" w:type="dxa"/>
            <w:tcBorders>
              <w:top w:val="single" w:sz="4" w:space="0" w:color="auto"/>
              <w:left w:val="nil"/>
              <w:bottom w:val="single" w:sz="4" w:space="0" w:color="auto"/>
              <w:right w:val="single" w:sz="4" w:space="0" w:color="auto"/>
            </w:tcBorders>
            <w:shd w:val="clear" w:color="auto" w:fill="auto"/>
            <w:noWrap/>
            <w:vAlign w:val="center"/>
            <w:hideMark/>
          </w:tcPr>
          <w:p w:rsidR="00B03613" w:rsidRPr="00B03613" w:rsidRDefault="00CE3C85" w:rsidP="00B03613">
            <w:pPr>
              <w:widowControl/>
              <w:autoSpaceDE/>
              <w:autoSpaceDN/>
              <w:rPr>
                <w:rFonts w:cs="宋体"/>
                <w:color w:val="000000"/>
                <w:sz w:val="24"/>
                <w:szCs w:val="24"/>
                <w:lang w:val="en-US" w:bidi="ar-SA"/>
              </w:rPr>
            </w:pPr>
            <w:r w:rsidRPr="00CE3C85">
              <w:rPr>
                <w:rFonts w:cs="宋体" w:hint="eastAsia"/>
                <w:color w:val="000000"/>
                <w:sz w:val="24"/>
                <w:szCs w:val="24"/>
                <w:lang w:val="en-US" w:bidi="ar-SA"/>
              </w:rPr>
              <w:t>乌银利鑫系列</w:t>
            </w:r>
            <w:r w:rsidRPr="00CE3C85">
              <w:rPr>
                <w:rFonts w:cs="宋体"/>
                <w:color w:val="000000"/>
                <w:sz w:val="24"/>
                <w:szCs w:val="24"/>
                <w:lang w:val="en-US" w:bidi="ar-SA"/>
              </w:rPr>
              <w:t>2021年</w:t>
            </w:r>
            <w:r w:rsidR="008D49B3">
              <w:rPr>
                <w:rFonts w:cs="宋体"/>
                <w:color w:val="000000"/>
                <w:sz w:val="24"/>
                <w:szCs w:val="24"/>
                <w:lang w:val="en-US" w:bidi="ar-SA"/>
              </w:rPr>
              <w:t>第</w:t>
            </w:r>
            <w:r w:rsidR="00731B73">
              <w:rPr>
                <w:rFonts w:cs="宋体" w:hint="eastAsia"/>
                <w:color w:val="000000"/>
                <w:sz w:val="24"/>
                <w:szCs w:val="24"/>
                <w:lang w:val="en-US" w:bidi="ar-SA"/>
              </w:rPr>
              <w:t>42</w:t>
            </w:r>
            <w:r w:rsidR="008D49B3">
              <w:rPr>
                <w:rFonts w:cs="宋体"/>
                <w:color w:val="000000"/>
                <w:sz w:val="24"/>
                <w:szCs w:val="24"/>
                <w:lang w:val="en-US" w:bidi="ar-SA"/>
              </w:rPr>
              <w:t>期</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产品代码</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0C381F" w:rsidP="00B03613">
            <w:pPr>
              <w:widowControl/>
              <w:autoSpaceDE/>
              <w:autoSpaceDN/>
              <w:rPr>
                <w:rFonts w:cs="宋体"/>
                <w:color w:val="000000"/>
                <w:sz w:val="24"/>
                <w:szCs w:val="24"/>
                <w:lang w:val="en-US" w:bidi="ar-SA"/>
              </w:rPr>
            </w:pPr>
            <w:r w:rsidRPr="000C381F">
              <w:rPr>
                <w:sz w:val="24"/>
                <w:szCs w:val="24"/>
              </w:rPr>
              <w:t>LX20210</w:t>
            </w:r>
            <w:r w:rsidR="00987067">
              <w:rPr>
                <w:rFonts w:hint="eastAsia"/>
                <w:sz w:val="24"/>
                <w:szCs w:val="24"/>
              </w:rPr>
              <w:t>4</w:t>
            </w:r>
            <w:r w:rsidR="00731B73">
              <w:rPr>
                <w:rFonts w:hint="eastAsia"/>
                <w:sz w:val="24"/>
                <w:szCs w:val="24"/>
              </w:rPr>
              <w:t>2</w:t>
            </w:r>
          </w:p>
        </w:tc>
      </w:tr>
      <w:tr w:rsidR="00B03613" w:rsidRPr="00B03613" w:rsidTr="00B03613">
        <w:trPr>
          <w:trHeight w:val="112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全国银行业理财信息登记系统产品登记编码</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F5221F" w:rsidP="00256963">
            <w:pPr>
              <w:widowControl/>
              <w:autoSpaceDE/>
              <w:autoSpaceDN/>
              <w:rPr>
                <w:rFonts w:cs="宋体"/>
                <w:color w:val="000000"/>
                <w:sz w:val="24"/>
                <w:szCs w:val="24"/>
                <w:lang w:val="en-US" w:bidi="ar-SA"/>
              </w:rPr>
            </w:pPr>
            <w:r w:rsidRPr="00F5221F">
              <w:rPr>
                <w:sz w:val="24"/>
                <w:szCs w:val="24"/>
              </w:rPr>
              <w:t>C1087721000</w:t>
            </w:r>
            <w:r w:rsidR="00987067">
              <w:rPr>
                <w:rFonts w:hint="eastAsia"/>
                <w:sz w:val="24"/>
                <w:szCs w:val="24"/>
              </w:rPr>
              <w:t>11</w:t>
            </w:r>
            <w:r w:rsidR="00731B73">
              <w:rPr>
                <w:rFonts w:hint="eastAsia"/>
                <w:sz w:val="24"/>
                <w:szCs w:val="24"/>
              </w:rPr>
              <w:t>6</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产品运作方式</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color w:val="000000"/>
                <w:sz w:val="24"/>
                <w:szCs w:val="24"/>
                <w:lang w:val="en-US" w:bidi="ar-SA"/>
              </w:rPr>
            </w:pPr>
            <w:r w:rsidRPr="00B03613">
              <w:rPr>
                <w:rFonts w:cs="宋体" w:hint="eastAsia"/>
                <w:color w:val="000000"/>
                <w:sz w:val="24"/>
                <w:szCs w:val="24"/>
                <w:lang w:val="en-US" w:bidi="ar-SA"/>
              </w:rPr>
              <w:t>封闭式净值型</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报告期末产品份额总额</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731B73" w:rsidP="00D409FD">
            <w:pPr>
              <w:widowControl/>
              <w:autoSpaceDE/>
              <w:autoSpaceDN/>
              <w:rPr>
                <w:rFonts w:cs="宋体"/>
                <w:color w:val="000000"/>
                <w:sz w:val="24"/>
                <w:szCs w:val="24"/>
                <w:lang w:val="en-US" w:bidi="ar-SA"/>
              </w:rPr>
            </w:pPr>
            <w:r>
              <w:rPr>
                <w:rFonts w:hint="eastAsia"/>
                <w:sz w:val="24"/>
                <w:szCs w:val="24"/>
              </w:rPr>
              <w:t>2</w:t>
            </w:r>
            <w:r w:rsidR="00FE3A1A">
              <w:rPr>
                <w:rFonts w:hint="eastAsia"/>
                <w:sz w:val="24"/>
                <w:szCs w:val="24"/>
              </w:rPr>
              <w:t>000</w:t>
            </w:r>
            <w:r w:rsidR="00F30827" w:rsidRPr="006838E1">
              <w:rPr>
                <w:sz w:val="24"/>
                <w:szCs w:val="24"/>
              </w:rPr>
              <w:t>万份</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募集方式</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color w:val="000000"/>
                <w:sz w:val="24"/>
                <w:szCs w:val="24"/>
                <w:lang w:val="en-US" w:bidi="ar-SA"/>
              </w:rPr>
            </w:pPr>
            <w:r w:rsidRPr="00B03613">
              <w:rPr>
                <w:rFonts w:cs="宋体" w:hint="eastAsia"/>
                <w:color w:val="000000"/>
                <w:sz w:val="24"/>
                <w:szCs w:val="24"/>
                <w:lang w:val="en-US" w:bidi="ar-SA"/>
              </w:rPr>
              <w:t>公募</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理财产品成立日</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0C381F" w:rsidP="00B03613">
            <w:pPr>
              <w:widowControl/>
              <w:autoSpaceDE/>
              <w:autoSpaceDN/>
              <w:rPr>
                <w:rFonts w:cs="宋体"/>
                <w:color w:val="000000"/>
                <w:sz w:val="24"/>
                <w:szCs w:val="24"/>
                <w:lang w:val="en-US" w:bidi="ar-SA"/>
              </w:rPr>
            </w:pPr>
            <w:r>
              <w:rPr>
                <w:rFonts w:cs="宋体" w:hint="eastAsia"/>
                <w:color w:val="000000"/>
                <w:sz w:val="24"/>
                <w:szCs w:val="24"/>
                <w:lang w:val="en-US" w:bidi="ar-SA"/>
              </w:rPr>
              <w:t>2021</w:t>
            </w:r>
            <w:r w:rsidR="00B03613" w:rsidRPr="00B03613">
              <w:rPr>
                <w:rFonts w:cs="宋体" w:hint="eastAsia"/>
                <w:color w:val="000000"/>
                <w:sz w:val="24"/>
                <w:szCs w:val="24"/>
                <w:lang w:val="en-US" w:bidi="ar-SA"/>
              </w:rPr>
              <w:t>年</w:t>
            </w:r>
            <w:r w:rsidR="00425A9B">
              <w:rPr>
                <w:rFonts w:cs="宋体" w:hint="eastAsia"/>
                <w:color w:val="000000"/>
                <w:sz w:val="24"/>
                <w:szCs w:val="24"/>
                <w:lang w:val="en-US" w:bidi="ar-SA"/>
              </w:rPr>
              <w:t xml:space="preserve"> </w:t>
            </w:r>
            <w:r w:rsidR="00B108B4">
              <w:rPr>
                <w:rFonts w:cs="宋体" w:hint="eastAsia"/>
                <w:color w:val="000000"/>
                <w:sz w:val="24"/>
                <w:szCs w:val="24"/>
                <w:lang w:val="en-US" w:bidi="ar-SA"/>
              </w:rPr>
              <w:t xml:space="preserve"> </w:t>
            </w:r>
            <w:r w:rsidR="00987067">
              <w:rPr>
                <w:rFonts w:hint="eastAsia"/>
                <w:sz w:val="24"/>
                <w:szCs w:val="24"/>
              </w:rPr>
              <w:t>6</w:t>
            </w:r>
            <w:r w:rsidR="00604403">
              <w:rPr>
                <w:rFonts w:hint="eastAsia"/>
                <w:sz w:val="24"/>
                <w:szCs w:val="24"/>
              </w:rPr>
              <w:t xml:space="preserve"> </w:t>
            </w:r>
            <w:r w:rsidR="00425A9B" w:rsidRPr="006838E1">
              <w:rPr>
                <w:sz w:val="24"/>
                <w:szCs w:val="24"/>
              </w:rPr>
              <w:t xml:space="preserve">月 </w:t>
            </w:r>
            <w:r w:rsidR="00731B73">
              <w:rPr>
                <w:rFonts w:hint="eastAsia"/>
                <w:sz w:val="24"/>
                <w:szCs w:val="24"/>
              </w:rPr>
              <w:t>23</w:t>
            </w:r>
            <w:r w:rsidR="00425A9B" w:rsidRPr="006838E1">
              <w:rPr>
                <w:sz w:val="24"/>
                <w:szCs w:val="24"/>
              </w:rPr>
              <w:t>日</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理财产品计划到期日</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color w:val="000000"/>
                <w:sz w:val="24"/>
                <w:szCs w:val="24"/>
                <w:lang w:val="en-US" w:bidi="ar-SA"/>
              </w:rPr>
            </w:pPr>
            <w:r w:rsidRPr="00B03613">
              <w:rPr>
                <w:rFonts w:cs="宋体" w:hint="eastAsia"/>
                <w:color w:val="000000"/>
                <w:sz w:val="24"/>
                <w:szCs w:val="24"/>
                <w:lang w:val="en-US" w:bidi="ar-SA"/>
              </w:rPr>
              <w:t>2021 年</w:t>
            </w:r>
            <w:r w:rsidR="00256963">
              <w:rPr>
                <w:rFonts w:cs="宋体" w:hint="eastAsia"/>
                <w:color w:val="000000"/>
                <w:sz w:val="24"/>
                <w:szCs w:val="24"/>
                <w:lang w:val="en-US" w:bidi="ar-SA"/>
              </w:rPr>
              <w:t xml:space="preserve"> </w:t>
            </w:r>
            <w:r w:rsidR="00002933">
              <w:rPr>
                <w:rFonts w:cs="宋体" w:hint="eastAsia"/>
                <w:color w:val="000000"/>
                <w:sz w:val="24"/>
                <w:szCs w:val="24"/>
                <w:lang w:val="en-US" w:bidi="ar-SA"/>
              </w:rPr>
              <w:t xml:space="preserve"> </w:t>
            </w:r>
            <w:r w:rsidR="00987067">
              <w:rPr>
                <w:rFonts w:hint="eastAsia"/>
                <w:sz w:val="24"/>
                <w:szCs w:val="24"/>
              </w:rPr>
              <w:t>12</w:t>
            </w:r>
            <w:r w:rsidR="00780F7B">
              <w:rPr>
                <w:rFonts w:hint="eastAsia"/>
                <w:sz w:val="24"/>
                <w:szCs w:val="24"/>
              </w:rPr>
              <w:t xml:space="preserve"> </w:t>
            </w:r>
            <w:r w:rsidR="00F30827" w:rsidRPr="006838E1">
              <w:rPr>
                <w:sz w:val="24"/>
                <w:szCs w:val="24"/>
              </w:rPr>
              <w:t xml:space="preserve">月 </w:t>
            </w:r>
            <w:r w:rsidR="00256963">
              <w:rPr>
                <w:rFonts w:hint="eastAsia"/>
                <w:sz w:val="24"/>
                <w:szCs w:val="24"/>
              </w:rPr>
              <w:t>2</w:t>
            </w:r>
            <w:r w:rsidR="00F30827" w:rsidRPr="006838E1">
              <w:rPr>
                <w:sz w:val="24"/>
                <w:szCs w:val="24"/>
              </w:rPr>
              <w:t>日</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认购起点金额</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color w:val="000000"/>
                <w:sz w:val="24"/>
                <w:szCs w:val="24"/>
                <w:lang w:val="en-US" w:bidi="ar-SA"/>
              </w:rPr>
            </w:pPr>
            <w:r w:rsidRPr="00B03613">
              <w:rPr>
                <w:rFonts w:cs="宋体" w:hint="eastAsia"/>
                <w:color w:val="000000"/>
                <w:sz w:val="24"/>
                <w:szCs w:val="24"/>
                <w:lang w:val="en-US" w:bidi="ar-SA"/>
              </w:rPr>
              <w:t>1 万元，以 1 万元的整数倍递增</w:t>
            </w:r>
          </w:p>
        </w:tc>
      </w:tr>
      <w:tr w:rsidR="00B03613" w:rsidRPr="00B03613" w:rsidTr="00B03613">
        <w:trPr>
          <w:trHeight w:val="112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收益计算方法</w:t>
            </w:r>
          </w:p>
        </w:tc>
        <w:tc>
          <w:tcPr>
            <w:tcW w:w="5678" w:type="dxa"/>
            <w:tcBorders>
              <w:top w:val="nil"/>
              <w:left w:val="nil"/>
              <w:bottom w:val="single" w:sz="4" w:space="0" w:color="auto"/>
              <w:right w:val="single" w:sz="4" w:space="0" w:color="auto"/>
            </w:tcBorders>
            <w:shd w:val="clear" w:color="auto" w:fill="auto"/>
            <w:vAlign w:val="center"/>
            <w:hideMark/>
          </w:tcPr>
          <w:p w:rsidR="00B03613" w:rsidRPr="00B03613" w:rsidRDefault="00B03613" w:rsidP="00B03613">
            <w:pPr>
              <w:widowControl/>
              <w:autoSpaceDE/>
              <w:autoSpaceDN/>
              <w:rPr>
                <w:rFonts w:cs="宋体"/>
                <w:color w:val="000000"/>
                <w:sz w:val="24"/>
                <w:szCs w:val="24"/>
                <w:lang w:val="en-US" w:bidi="ar-SA"/>
              </w:rPr>
            </w:pPr>
            <w:r w:rsidRPr="00B03613">
              <w:rPr>
                <w:rFonts w:cs="宋体" w:hint="eastAsia"/>
                <w:color w:val="000000"/>
                <w:sz w:val="24"/>
                <w:szCs w:val="24"/>
                <w:lang w:val="en-US" w:bidi="ar-SA"/>
              </w:rPr>
              <w:t>投资者应得收益=投资者到期日持有产品份额×(到期日产品单位净值-购买日产品单位净值)持有产品份额=认购金额÷1 元/份</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产品风险评级</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color w:val="000000"/>
                <w:sz w:val="24"/>
                <w:szCs w:val="24"/>
                <w:lang w:val="en-US" w:bidi="ar-SA"/>
              </w:rPr>
            </w:pPr>
            <w:r w:rsidRPr="00B03613">
              <w:rPr>
                <w:rFonts w:cs="宋体" w:hint="eastAsia"/>
                <w:color w:val="000000"/>
                <w:sz w:val="24"/>
                <w:szCs w:val="24"/>
                <w:lang w:val="en-US" w:bidi="ar-SA"/>
              </w:rPr>
              <w:t>中低风险</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产品投资类型</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color w:val="000000"/>
                <w:sz w:val="24"/>
                <w:szCs w:val="24"/>
                <w:lang w:val="en-US" w:bidi="ar-SA"/>
              </w:rPr>
            </w:pPr>
            <w:r w:rsidRPr="00B03613">
              <w:rPr>
                <w:rFonts w:cs="宋体" w:hint="eastAsia"/>
                <w:color w:val="000000"/>
                <w:sz w:val="24"/>
                <w:szCs w:val="24"/>
                <w:lang w:val="en-US" w:bidi="ar-SA"/>
              </w:rPr>
              <w:t>固定收益类</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投资目标</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color w:val="000000"/>
                <w:sz w:val="24"/>
                <w:szCs w:val="24"/>
                <w:lang w:val="en-US" w:bidi="ar-SA"/>
              </w:rPr>
            </w:pPr>
            <w:r w:rsidRPr="00B03613">
              <w:rPr>
                <w:rFonts w:cs="宋体" w:hint="eastAsia"/>
                <w:color w:val="000000"/>
                <w:sz w:val="24"/>
                <w:szCs w:val="24"/>
                <w:lang w:val="en-US" w:bidi="ar-SA"/>
              </w:rPr>
              <w:t>在保持理财资产风险可控的前提下，力争实现业绩比较基准的投资回报</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投资策略</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color w:val="000000"/>
                <w:sz w:val="24"/>
                <w:szCs w:val="24"/>
                <w:lang w:val="en-US" w:bidi="ar-SA"/>
              </w:rPr>
            </w:pPr>
            <w:r w:rsidRPr="00B03613">
              <w:rPr>
                <w:rFonts w:cs="宋体" w:hint="eastAsia"/>
                <w:color w:val="000000"/>
                <w:sz w:val="24"/>
                <w:szCs w:val="24"/>
                <w:lang w:val="en-US" w:bidi="ar-SA"/>
              </w:rPr>
              <w:t>固定期限，中低风险，低估值波动的稳健投资策略</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业绩比较基准</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987067" w:rsidP="00B03613">
            <w:pPr>
              <w:widowControl/>
              <w:autoSpaceDE/>
              <w:autoSpaceDN/>
              <w:rPr>
                <w:rFonts w:cs="宋体"/>
                <w:color w:val="000000"/>
                <w:sz w:val="24"/>
                <w:szCs w:val="24"/>
                <w:lang w:val="en-US" w:bidi="ar-SA"/>
              </w:rPr>
            </w:pPr>
            <w:r>
              <w:rPr>
                <w:rFonts w:cs="宋体" w:hint="eastAsia"/>
                <w:color w:val="000000"/>
                <w:sz w:val="24"/>
                <w:szCs w:val="24"/>
                <w:lang w:val="en-US" w:bidi="ar-SA"/>
              </w:rPr>
              <w:t>3.65</w:t>
            </w:r>
            <w:r w:rsidR="00B03613" w:rsidRPr="00B03613">
              <w:rPr>
                <w:rFonts w:cs="宋体" w:hint="eastAsia"/>
                <w:color w:val="000000"/>
                <w:sz w:val="24"/>
                <w:szCs w:val="24"/>
                <w:lang w:val="en-US" w:bidi="ar-SA"/>
              </w:rPr>
              <w:t>%</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产品投资性质</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color w:val="000000"/>
                <w:sz w:val="24"/>
                <w:szCs w:val="24"/>
                <w:lang w:val="en-US" w:bidi="ar-SA"/>
              </w:rPr>
            </w:pPr>
            <w:r w:rsidRPr="00B03613">
              <w:rPr>
                <w:rFonts w:cs="宋体" w:hint="eastAsia"/>
                <w:color w:val="000000"/>
                <w:sz w:val="24"/>
                <w:szCs w:val="24"/>
                <w:lang w:val="en-US" w:bidi="ar-SA"/>
              </w:rPr>
              <w:t>固定收益类</w:t>
            </w:r>
          </w:p>
        </w:tc>
      </w:tr>
      <w:tr w:rsidR="00B03613" w:rsidRPr="00B03613" w:rsidTr="00B03613">
        <w:trPr>
          <w:trHeight w:val="2850"/>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税款</w:t>
            </w:r>
          </w:p>
        </w:tc>
        <w:tc>
          <w:tcPr>
            <w:tcW w:w="5678" w:type="dxa"/>
            <w:tcBorders>
              <w:top w:val="nil"/>
              <w:left w:val="nil"/>
              <w:bottom w:val="single" w:sz="4" w:space="0" w:color="auto"/>
              <w:right w:val="single" w:sz="4" w:space="0" w:color="auto"/>
            </w:tcBorders>
            <w:shd w:val="clear" w:color="auto" w:fill="auto"/>
            <w:vAlign w:val="center"/>
            <w:hideMark/>
          </w:tcPr>
          <w:p w:rsidR="00B03613" w:rsidRPr="00B03613" w:rsidRDefault="00B03613" w:rsidP="00B03613">
            <w:pPr>
              <w:widowControl/>
              <w:autoSpaceDE/>
              <w:autoSpaceDN/>
              <w:rPr>
                <w:rFonts w:cs="宋体"/>
                <w:color w:val="000000"/>
                <w:sz w:val="24"/>
                <w:szCs w:val="24"/>
                <w:lang w:val="en-US" w:bidi="ar-SA"/>
              </w:rPr>
            </w:pPr>
            <w:r w:rsidRPr="00B03613">
              <w:rPr>
                <w:rFonts w:cs="宋体" w:hint="eastAsia"/>
                <w:color w:val="000000"/>
                <w:sz w:val="24"/>
                <w:szCs w:val="24"/>
                <w:lang w:val="en-US" w:bidi="ar-SA"/>
              </w:rPr>
              <w:t>根据国家法律法规、部门规章和其他规范性文件，理财产品运营过程中产生的相关税费（包括但不限于增值税及相应的附加税费等）由理财产品承担，由乌海银行予以缴纳。前述税费具体的计算、提取及缴纳， 由乌海银行按照应税行为发生时有效的相关税收法规确定。投资者取得理财收益产生的纳税义务（包括但不限于增值税、所得税等，如有），由投资人自行</w:t>
            </w:r>
            <w:r w:rsidRPr="00B03613">
              <w:rPr>
                <w:rFonts w:cs="宋体" w:hint="eastAsia"/>
                <w:color w:val="000000"/>
                <w:sz w:val="24"/>
                <w:szCs w:val="24"/>
                <w:lang w:val="en-US" w:bidi="ar-SA"/>
              </w:rPr>
              <w:br/>
              <w:t>缴纳，乌海银行不承担代扣代缴义务，法律法规另有明确规定的除外。</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管理人</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color w:val="000000"/>
                <w:sz w:val="24"/>
                <w:szCs w:val="24"/>
                <w:lang w:val="en-US" w:bidi="ar-SA"/>
              </w:rPr>
            </w:pPr>
            <w:r w:rsidRPr="00B03613">
              <w:rPr>
                <w:rFonts w:cs="宋体" w:hint="eastAsia"/>
                <w:color w:val="000000"/>
                <w:sz w:val="24"/>
                <w:szCs w:val="24"/>
                <w:lang w:val="en-US" w:bidi="ar-SA"/>
              </w:rPr>
              <w:t>乌海银行股份有限公司</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托管人</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color w:val="000000"/>
                <w:sz w:val="24"/>
                <w:szCs w:val="24"/>
                <w:lang w:val="en-US" w:bidi="ar-SA"/>
              </w:rPr>
            </w:pPr>
            <w:r w:rsidRPr="00B03613">
              <w:rPr>
                <w:rFonts w:cs="宋体" w:hint="eastAsia"/>
                <w:color w:val="000000"/>
                <w:sz w:val="24"/>
                <w:szCs w:val="24"/>
                <w:lang w:val="en-US" w:bidi="ar-SA"/>
              </w:rPr>
              <w:t>中国工商银行股份有限公司</w:t>
            </w:r>
          </w:p>
        </w:tc>
      </w:tr>
    </w:tbl>
    <w:p w:rsidR="00EB04F3" w:rsidRPr="000B133E" w:rsidRDefault="00EB04F3" w:rsidP="00EB04F3">
      <w:pPr>
        <w:pStyle w:val="a5"/>
        <w:numPr>
          <w:ilvl w:val="0"/>
          <w:numId w:val="3"/>
        </w:numPr>
        <w:spacing w:line="492" w:lineRule="exact"/>
        <w:rPr>
          <w:rFonts w:ascii="仿宋" w:eastAsia="仿宋" w:hAnsi="仿宋"/>
          <w:b/>
          <w:sz w:val="30"/>
        </w:rPr>
      </w:pPr>
      <w:r w:rsidRPr="000B133E">
        <w:rPr>
          <w:rFonts w:ascii="仿宋" w:eastAsia="仿宋" w:hAnsi="仿宋" w:hint="eastAsia"/>
          <w:b/>
          <w:sz w:val="30"/>
        </w:rPr>
        <w:lastRenderedPageBreak/>
        <w:t>产品</w:t>
      </w:r>
      <w:r>
        <w:rPr>
          <w:rFonts w:ascii="仿宋" w:eastAsia="仿宋" w:hAnsi="仿宋" w:hint="eastAsia"/>
          <w:b/>
          <w:sz w:val="30"/>
        </w:rPr>
        <w:t>收益表现</w:t>
      </w:r>
      <w:r w:rsidRPr="000B133E">
        <w:rPr>
          <w:rFonts w:ascii="仿宋" w:eastAsia="仿宋" w:hAnsi="仿宋" w:hint="eastAsia"/>
          <w:b/>
          <w:sz w:val="30"/>
        </w:rPr>
        <w:t>：</w:t>
      </w:r>
    </w:p>
    <w:p w:rsidR="000B133E" w:rsidRPr="00EB04F3" w:rsidRDefault="00EB04F3" w:rsidP="00EB04F3">
      <w:pPr>
        <w:spacing w:line="492" w:lineRule="exact"/>
        <w:ind w:firstLineChars="200" w:firstLine="560"/>
        <w:rPr>
          <w:rFonts w:asciiTheme="minorEastAsia" w:eastAsiaTheme="minorEastAsia" w:hAnsiTheme="minorEastAsia"/>
          <w:sz w:val="28"/>
          <w:szCs w:val="28"/>
          <w:lang w:val="en-US"/>
        </w:rPr>
      </w:pPr>
      <w:r w:rsidRPr="00EB04F3">
        <w:rPr>
          <w:rFonts w:asciiTheme="minorEastAsia" w:eastAsiaTheme="minorEastAsia" w:hAnsiTheme="minorEastAsia" w:hint="eastAsia"/>
          <w:sz w:val="28"/>
          <w:szCs w:val="28"/>
        </w:rPr>
        <w:t>报告期内</w:t>
      </w:r>
      <w:r w:rsidRPr="00EB04F3">
        <w:rPr>
          <w:rFonts w:asciiTheme="minorEastAsia" w:eastAsiaTheme="minorEastAsia" w:hAnsiTheme="minorEastAsia" w:hint="eastAsia"/>
          <w:spacing w:val="-8"/>
          <w:sz w:val="28"/>
          <w:szCs w:val="28"/>
        </w:rPr>
        <w:t>，</w:t>
      </w:r>
      <w:r w:rsidRPr="00EB04F3">
        <w:rPr>
          <w:rFonts w:asciiTheme="minorEastAsia" w:eastAsiaTheme="minorEastAsia" w:hAnsiTheme="minorEastAsia" w:hint="eastAsia"/>
          <w:sz w:val="28"/>
          <w:szCs w:val="28"/>
        </w:rPr>
        <w:t>本产品业绩比较基准为</w:t>
      </w:r>
      <w:r w:rsidRPr="00EB04F3">
        <w:rPr>
          <w:rFonts w:asciiTheme="minorEastAsia" w:eastAsiaTheme="minorEastAsia" w:hAnsiTheme="minorEastAsia" w:hint="eastAsia"/>
          <w:spacing w:val="-65"/>
          <w:sz w:val="28"/>
          <w:szCs w:val="28"/>
        </w:rPr>
        <w:t xml:space="preserve"> </w:t>
      </w:r>
      <w:r w:rsidR="0013476A">
        <w:rPr>
          <w:rFonts w:asciiTheme="minorEastAsia" w:eastAsiaTheme="minorEastAsia" w:hAnsiTheme="minorEastAsia" w:hint="eastAsia"/>
          <w:sz w:val="28"/>
          <w:szCs w:val="28"/>
        </w:rPr>
        <w:t>3.</w:t>
      </w:r>
      <w:r w:rsidR="00987067">
        <w:rPr>
          <w:rFonts w:asciiTheme="minorEastAsia" w:eastAsiaTheme="minorEastAsia" w:hAnsiTheme="minorEastAsia" w:hint="eastAsia"/>
          <w:sz w:val="28"/>
          <w:szCs w:val="28"/>
        </w:rPr>
        <w:t>65</w:t>
      </w:r>
      <w:r w:rsidR="00F30827">
        <w:rPr>
          <w:rFonts w:asciiTheme="minorEastAsia" w:eastAsiaTheme="minorEastAsia" w:hAnsiTheme="minorEastAsia" w:hint="eastAsia"/>
          <w:noProof/>
          <w:spacing w:val="8"/>
          <w:sz w:val="28"/>
          <w:szCs w:val="28"/>
          <w:lang w:val="en-US" w:bidi="ar-SA"/>
        </w:rPr>
        <w:t>%</w:t>
      </w:r>
      <w:r w:rsidRPr="00EB04F3">
        <w:rPr>
          <w:rFonts w:asciiTheme="minorEastAsia" w:eastAsiaTheme="minorEastAsia" w:hAnsiTheme="minorEastAsia" w:hint="eastAsia"/>
          <w:spacing w:val="-8"/>
          <w:sz w:val="28"/>
          <w:szCs w:val="28"/>
        </w:rPr>
        <w:t>。</w:t>
      </w:r>
      <w:r w:rsidRPr="00EB04F3">
        <w:rPr>
          <w:rFonts w:asciiTheme="minorEastAsia" w:eastAsiaTheme="minorEastAsia" w:hAnsiTheme="minorEastAsia" w:hint="eastAsia"/>
          <w:sz w:val="28"/>
          <w:szCs w:val="28"/>
        </w:rPr>
        <w:t>报告期末，产品净值具体表现如下：</w:t>
      </w:r>
    </w:p>
    <w:tbl>
      <w:tblPr>
        <w:tblW w:w="7953" w:type="dxa"/>
        <w:tblInd w:w="93" w:type="dxa"/>
        <w:tblLook w:val="04A0"/>
      </w:tblPr>
      <w:tblGrid>
        <w:gridCol w:w="2425"/>
        <w:gridCol w:w="2552"/>
        <w:gridCol w:w="2976"/>
      </w:tblGrid>
      <w:tr w:rsidR="009A29CA" w:rsidRPr="009A29CA" w:rsidTr="009A29CA">
        <w:trPr>
          <w:trHeight w:val="270"/>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29CA" w:rsidRPr="009A29CA" w:rsidRDefault="009A29CA" w:rsidP="009A29CA">
            <w:pPr>
              <w:widowControl/>
              <w:autoSpaceDE/>
              <w:autoSpaceDN/>
              <w:jc w:val="center"/>
              <w:rPr>
                <w:rFonts w:ascii="宋体" w:eastAsia="宋体" w:hAnsi="宋体" w:cs="宋体"/>
                <w:b/>
                <w:bCs/>
                <w:color w:val="000000"/>
                <w:lang w:val="en-US" w:bidi="ar-SA"/>
              </w:rPr>
            </w:pPr>
            <w:r w:rsidRPr="009A29CA">
              <w:rPr>
                <w:rFonts w:ascii="宋体" w:eastAsia="宋体" w:hAnsi="宋体" w:cs="宋体" w:hint="eastAsia"/>
                <w:b/>
                <w:bCs/>
                <w:color w:val="000000"/>
                <w:lang w:val="en-US" w:bidi="ar-SA"/>
              </w:rPr>
              <w:t>估值日期</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9A29CA" w:rsidRPr="009A29CA" w:rsidRDefault="009A29CA" w:rsidP="009A29CA">
            <w:pPr>
              <w:widowControl/>
              <w:autoSpaceDE/>
              <w:autoSpaceDN/>
              <w:jc w:val="center"/>
              <w:rPr>
                <w:rFonts w:ascii="宋体" w:eastAsia="宋体" w:hAnsi="宋体" w:cs="宋体"/>
                <w:b/>
                <w:bCs/>
                <w:color w:val="000000"/>
                <w:lang w:val="en-US" w:bidi="ar-SA"/>
              </w:rPr>
            </w:pPr>
            <w:r w:rsidRPr="009A29CA">
              <w:rPr>
                <w:rFonts w:ascii="宋体" w:eastAsia="宋体" w:hAnsi="宋体" w:cs="宋体" w:hint="eastAsia"/>
                <w:b/>
                <w:bCs/>
                <w:color w:val="000000"/>
                <w:lang w:val="en-US" w:bidi="ar-SA"/>
              </w:rPr>
              <w:t>产品份额净值</w:t>
            </w:r>
          </w:p>
        </w:tc>
        <w:tc>
          <w:tcPr>
            <w:tcW w:w="2976" w:type="dxa"/>
            <w:tcBorders>
              <w:top w:val="single" w:sz="4" w:space="0" w:color="auto"/>
              <w:left w:val="nil"/>
              <w:bottom w:val="single" w:sz="4" w:space="0" w:color="auto"/>
              <w:right w:val="single" w:sz="4" w:space="0" w:color="auto"/>
            </w:tcBorders>
            <w:shd w:val="clear" w:color="auto" w:fill="auto"/>
            <w:noWrap/>
            <w:vAlign w:val="center"/>
            <w:hideMark/>
          </w:tcPr>
          <w:p w:rsidR="009A29CA" w:rsidRPr="009A29CA" w:rsidRDefault="009A29CA" w:rsidP="009A29CA">
            <w:pPr>
              <w:widowControl/>
              <w:autoSpaceDE/>
              <w:autoSpaceDN/>
              <w:jc w:val="center"/>
              <w:rPr>
                <w:rFonts w:ascii="宋体" w:eastAsia="宋体" w:hAnsi="宋体" w:cs="宋体"/>
                <w:b/>
                <w:bCs/>
                <w:color w:val="000000"/>
                <w:lang w:val="en-US" w:bidi="ar-SA"/>
              </w:rPr>
            </w:pPr>
            <w:r w:rsidRPr="009A29CA">
              <w:rPr>
                <w:rFonts w:ascii="宋体" w:eastAsia="宋体" w:hAnsi="宋体" w:cs="宋体" w:hint="eastAsia"/>
                <w:b/>
                <w:bCs/>
                <w:color w:val="000000"/>
                <w:lang w:val="en-US" w:bidi="ar-SA"/>
              </w:rPr>
              <w:t>产品累计净值</w:t>
            </w:r>
          </w:p>
        </w:tc>
      </w:tr>
      <w:tr w:rsidR="009A29CA" w:rsidRPr="009A29CA" w:rsidTr="009A29CA">
        <w:trPr>
          <w:trHeight w:val="270"/>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9A29CA" w:rsidRPr="009A29CA" w:rsidRDefault="000E6514" w:rsidP="009A29CA">
            <w:pPr>
              <w:widowControl/>
              <w:autoSpaceDE/>
              <w:autoSpaceDN/>
              <w:jc w:val="center"/>
              <w:rPr>
                <w:rFonts w:ascii="宋体" w:eastAsia="宋体" w:hAnsi="宋体" w:cs="宋体"/>
                <w:color w:val="000000"/>
                <w:lang w:val="en-US" w:bidi="ar-SA"/>
              </w:rPr>
            </w:pPr>
            <w:r w:rsidRPr="000E6514">
              <w:rPr>
                <w:rFonts w:ascii="宋体" w:eastAsia="宋体" w:hAnsi="宋体" w:cs="宋体"/>
                <w:color w:val="000000"/>
                <w:lang w:val="en-US" w:bidi="ar-SA"/>
              </w:rPr>
              <w:t>2021-6-30</w:t>
            </w:r>
          </w:p>
        </w:tc>
        <w:tc>
          <w:tcPr>
            <w:tcW w:w="2552" w:type="dxa"/>
            <w:tcBorders>
              <w:top w:val="nil"/>
              <w:left w:val="nil"/>
              <w:bottom w:val="single" w:sz="4" w:space="0" w:color="auto"/>
              <w:right w:val="single" w:sz="4" w:space="0" w:color="auto"/>
            </w:tcBorders>
            <w:shd w:val="clear" w:color="auto" w:fill="auto"/>
            <w:noWrap/>
            <w:vAlign w:val="center"/>
            <w:hideMark/>
          </w:tcPr>
          <w:p w:rsidR="009A29CA" w:rsidRPr="009A29CA" w:rsidRDefault="00731B73" w:rsidP="00F30827">
            <w:pPr>
              <w:widowControl/>
              <w:autoSpaceDE/>
              <w:autoSpaceDN/>
              <w:jc w:val="center"/>
              <w:rPr>
                <w:rFonts w:ascii="宋体" w:eastAsia="宋体" w:hAnsi="宋体" w:cs="宋体"/>
                <w:color w:val="000000"/>
                <w:lang w:val="en-US" w:bidi="ar-SA"/>
              </w:rPr>
            </w:pPr>
            <w:r w:rsidRPr="00731B73">
              <w:rPr>
                <w:rFonts w:ascii="宋体" w:eastAsia="宋体" w:hAnsi="宋体" w:cs="宋体"/>
                <w:color w:val="000000"/>
                <w:lang w:val="en-US" w:bidi="ar-SA"/>
              </w:rPr>
              <w:t>1.0008</w:t>
            </w:r>
          </w:p>
        </w:tc>
        <w:tc>
          <w:tcPr>
            <w:tcW w:w="2976" w:type="dxa"/>
            <w:tcBorders>
              <w:top w:val="nil"/>
              <w:left w:val="nil"/>
              <w:bottom w:val="single" w:sz="4" w:space="0" w:color="auto"/>
              <w:right w:val="single" w:sz="4" w:space="0" w:color="auto"/>
            </w:tcBorders>
            <w:shd w:val="clear" w:color="auto" w:fill="auto"/>
            <w:noWrap/>
            <w:vAlign w:val="center"/>
            <w:hideMark/>
          </w:tcPr>
          <w:p w:rsidR="009A29CA" w:rsidRPr="009A29CA" w:rsidRDefault="00731B73" w:rsidP="009A29CA">
            <w:pPr>
              <w:widowControl/>
              <w:autoSpaceDE/>
              <w:autoSpaceDN/>
              <w:jc w:val="center"/>
              <w:rPr>
                <w:rFonts w:ascii="宋体" w:eastAsia="宋体" w:hAnsi="宋体" w:cs="宋体"/>
                <w:color w:val="000000"/>
                <w:lang w:val="en-US" w:bidi="ar-SA"/>
              </w:rPr>
            </w:pPr>
            <w:r w:rsidRPr="00731B73">
              <w:rPr>
                <w:rFonts w:ascii="宋体" w:eastAsia="宋体" w:hAnsi="宋体" w:cs="宋体"/>
                <w:color w:val="000000"/>
                <w:lang w:val="en-US" w:bidi="ar-SA"/>
              </w:rPr>
              <w:t>1.0008</w:t>
            </w:r>
          </w:p>
        </w:tc>
      </w:tr>
    </w:tbl>
    <w:p w:rsidR="009A29CA" w:rsidRPr="000B133E" w:rsidRDefault="009A29CA" w:rsidP="009A29CA">
      <w:pPr>
        <w:pStyle w:val="a5"/>
        <w:numPr>
          <w:ilvl w:val="0"/>
          <w:numId w:val="3"/>
        </w:numPr>
        <w:spacing w:line="492" w:lineRule="exact"/>
        <w:rPr>
          <w:rFonts w:ascii="仿宋" w:eastAsia="仿宋" w:hAnsi="仿宋"/>
          <w:b/>
          <w:sz w:val="30"/>
        </w:rPr>
      </w:pPr>
      <w:r>
        <w:rPr>
          <w:rFonts w:ascii="仿宋" w:eastAsia="仿宋" w:hAnsi="仿宋" w:hint="eastAsia"/>
          <w:b/>
          <w:sz w:val="30"/>
        </w:rPr>
        <w:t>报告期内产品的投资策略和运作分析</w:t>
      </w:r>
      <w:r w:rsidRPr="000B133E">
        <w:rPr>
          <w:rFonts w:ascii="仿宋" w:eastAsia="仿宋" w:hAnsi="仿宋" w:hint="eastAsia"/>
          <w:b/>
          <w:sz w:val="30"/>
        </w:rPr>
        <w:t>：</w:t>
      </w:r>
    </w:p>
    <w:p w:rsidR="008D49B3" w:rsidRPr="009A29CA" w:rsidRDefault="00A41165" w:rsidP="008D49B3">
      <w:pPr>
        <w:spacing w:line="492" w:lineRule="exact"/>
        <w:ind w:firstLineChars="200" w:firstLine="560"/>
        <w:rPr>
          <w:rFonts w:asciiTheme="minorEastAsia" w:eastAsiaTheme="minorEastAsia" w:hAnsiTheme="minorEastAsia"/>
          <w:sz w:val="28"/>
          <w:szCs w:val="28"/>
          <w:lang w:val="en-US"/>
        </w:rPr>
      </w:pPr>
      <w:r>
        <w:rPr>
          <w:rFonts w:asciiTheme="minorEastAsia" w:eastAsiaTheme="minorEastAsia" w:hAnsiTheme="minorEastAsia" w:hint="eastAsia"/>
          <w:sz w:val="28"/>
          <w:szCs w:val="28"/>
          <w:lang w:val="en-US"/>
        </w:rPr>
        <w:t>1、</w:t>
      </w:r>
      <w:r w:rsidR="008D49B3" w:rsidRPr="00DA29D1">
        <w:rPr>
          <w:rFonts w:asciiTheme="minorEastAsia" w:eastAsiaTheme="minorEastAsia" w:hAnsiTheme="minorEastAsia"/>
          <w:sz w:val="28"/>
          <w:szCs w:val="28"/>
          <w:lang w:val="en-US"/>
        </w:rPr>
        <w:t>2021</w:t>
      </w:r>
      <w:r w:rsidR="008D49B3">
        <w:rPr>
          <w:rFonts w:asciiTheme="minorEastAsia" w:eastAsiaTheme="minorEastAsia" w:hAnsiTheme="minorEastAsia"/>
          <w:sz w:val="28"/>
          <w:szCs w:val="28"/>
          <w:lang w:val="en-US"/>
        </w:rPr>
        <w:t>年</w:t>
      </w:r>
      <w:r w:rsidR="008D49B3">
        <w:rPr>
          <w:rFonts w:asciiTheme="minorEastAsia" w:eastAsiaTheme="minorEastAsia" w:hAnsiTheme="minorEastAsia" w:hint="eastAsia"/>
          <w:sz w:val="28"/>
          <w:szCs w:val="28"/>
          <w:lang w:val="en-US"/>
        </w:rPr>
        <w:t>二</w:t>
      </w:r>
      <w:r w:rsidR="008D49B3" w:rsidRPr="00DA29D1">
        <w:rPr>
          <w:rFonts w:asciiTheme="minorEastAsia" w:eastAsiaTheme="minorEastAsia" w:hAnsiTheme="minorEastAsia"/>
          <w:sz w:val="28"/>
          <w:szCs w:val="28"/>
          <w:lang w:val="en-US"/>
        </w:rPr>
        <w:t>季度经济背</w:t>
      </w:r>
      <w:r w:rsidR="008D49B3" w:rsidRPr="009A29CA">
        <w:rPr>
          <w:rFonts w:asciiTheme="minorEastAsia" w:eastAsiaTheme="minorEastAsia" w:hAnsiTheme="minorEastAsia"/>
          <w:sz w:val="28"/>
          <w:szCs w:val="28"/>
        </w:rPr>
        <w:t>景</w:t>
      </w:r>
    </w:p>
    <w:p w:rsidR="009A29CA" w:rsidRDefault="008D49B3" w:rsidP="008D49B3">
      <w:pPr>
        <w:spacing w:line="492" w:lineRule="exact"/>
        <w:ind w:firstLineChars="200" w:firstLine="560"/>
        <w:rPr>
          <w:rFonts w:asciiTheme="minorEastAsia" w:eastAsiaTheme="minorEastAsia" w:hAnsiTheme="minorEastAsia"/>
          <w:color w:val="000000" w:themeColor="text1"/>
          <w:spacing w:val="-9"/>
          <w:sz w:val="28"/>
          <w:szCs w:val="28"/>
        </w:rPr>
      </w:pPr>
      <w:r>
        <w:rPr>
          <w:rFonts w:asciiTheme="minorEastAsia" w:eastAsiaTheme="minorEastAsia" w:hAnsiTheme="minorEastAsia"/>
          <w:color w:val="000000" w:themeColor="text1"/>
          <w:sz w:val="28"/>
          <w:szCs w:val="28"/>
        </w:rPr>
        <w:t>202</w:t>
      </w:r>
      <w:r>
        <w:rPr>
          <w:rFonts w:asciiTheme="minorEastAsia" w:eastAsiaTheme="minorEastAsia" w:hAnsiTheme="minorEastAsia" w:hint="eastAsia"/>
          <w:color w:val="000000" w:themeColor="text1"/>
          <w:sz w:val="28"/>
          <w:szCs w:val="28"/>
        </w:rPr>
        <w:t>1</w:t>
      </w:r>
      <w:r w:rsidRPr="00DA29D1">
        <w:rPr>
          <w:rFonts w:asciiTheme="minorEastAsia" w:eastAsiaTheme="minorEastAsia" w:hAnsiTheme="minorEastAsia"/>
          <w:color w:val="000000" w:themeColor="text1"/>
          <w:sz w:val="28"/>
          <w:szCs w:val="28"/>
        </w:rPr>
        <w:t>年</w:t>
      </w:r>
      <w:r>
        <w:rPr>
          <w:rFonts w:asciiTheme="minorEastAsia" w:eastAsiaTheme="minorEastAsia" w:hAnsiTheme="minorEastAsia" w:hint="eastAsia"/>
          <w:color w:val="000000" w:themeColor="text1"/>
          <w:sz w:val="28"/>
          <w:szCs w:val="28"/>
        </w:rPr>
        <w:t>二季度</w:t>
      </w:r>
      <w:r w:rsidRPr="00DA29D1">
        <w:rPr>
          <w:rFonts w:asciiTheme="minorEastAsia" w:eastAsiaTheme="minorEastAsia" w:hAnsiTheme="minorEastAsia"/>
          <w:color w:val="000000" w:themeColor="text1"/>
          <w:sz w:val="28"/>
          <w:szCs w:val="28"/>
        </w:rPr>
        <w:t>，央行资金供给充裕，货币宽松预期持续。</w:t>
      </w:r>
      <w:r>
        <w:rPr>
          <w:rFonts w:asciiTheme="minorEastAsia" w:eastAsiaTheme="minorEastAsia" w:hAnsiTheme="minorEastAsia" w:hint="eastAsia"/>
          <w:color w:val="000000" w:themeColor="text1"/>
          <w:sz w:val="28"/>
          <w:szCs w:val="28"/>
        </w:rPr>
        <w:t>2021年是我国现代化建设进程中具有特殊重要性的一年。根据中国宏观经济季度模型检测，今年GDP增速比上年大幅提升，货币政策继续相机调控和引导货币信贷总量，积极发挥结构性货币政策工</w:t>
      </w:r>
      <w:r w:rsidRPr="00A57074">
        <w:rPr>
          <w:rFonts w:asciiTheme="minorEastAsia" w:eastAsiaTheme="minorEastAsia" w:hAnsiTheme="minorEastAsia" w:hint="eastAsia"/>
          <w:color w:val="000000" w:themeColor="text1"/>
          <w:sz w:val="28"/>
          <w:szCs w:val="28"/>
        </w:rPr>
        <w:t>具作用，</w:t>
      </w:r>
      <w:r>
        <w:rPr>
          <w:rFonts w:asciiTheme="minorEastAsia" w:eastAsiaTheme="minorEastAsia" w:hAnsiTheme="minorEastAsia" w:hint="eastAsia"/>
          <w:color w:val="000000" w:themeColor="text1"/>
          <w:sz w:val="28"/>
          <w:szCs w:val="28"/>
        </w:rPr>
        <w:t>通过政策利率到市场利率的传导机制，动态调整人民币汇率参考货币篮子；财政政策常态化积极；金融监管逐渐回归</w:t>
      </w:r>
      <w:r w:rsidR="00371E38">
        <w:rPr>
          <w:rFonts w:asciiTheme="minorEastAsia" w:eastAsiaTheme="minorEastAsia" w:hAnsiTheme="minorEastAsia" w:hint="eastAsia"/>
          <w:color w:val="000000" w:themeColor="text1"/>
          <w:spacing w:val="-9"/>
          <w:sz w:val="28"/>
          <w:szCs w:val="28"/>
        </w:rPr>
        <w:t>。</w:t>
      </w:r>
    </w:p>
    <w:p w:rsidR="00A41165" w:rsidRDefault="00A41165" w:rsidP="00A41165">
      <w:pPr>
        <w:spacing w:line="492" w:lineRule="exact"/>
        <w:ind w:firstLineChars="200" w:firstLine="524"/>
        <w:rPr>
          <w:rFonts w:asciiTheme="minorEastAsia" w:eastAsiaTheme="minorEastAsia" w:hAnsiTheme="minorEastAsia"/>
          <w:color w:val="000000" w:themeColor="text1"/>
          <w:spacing w:val="-9"/>
          <w:sz w:val="28"/>
          <w:szCs w:val="28"/>
        </w:rPr>
      </w:pPr>
      <w:r>
        <w:rPr>
          <w:rFonts w:asciiTheme="minorEastAsia" w:eastAsiaTheme="minorEastAsia" w:hAnsiTheme="minorEastAsia" w:hint="eastAsia"/>
          <w:color w:val="000000" w:themeColor="text1"/>
          <w:spacing w:val="-9"/>
          <w:sz w:val="28"/>
          <w:szCs w:val="28"/>
        </w:rPr>
        <w:t>2、资产配置策略</w:t>
      </w:r>
    </w:p>
    <w:p w:rsidR="00A41165" w:rsidRDefault="00A41165" w:rsidP="00A41165">
      <w:pPr>
        <w:spacing w:line="492" w:lineRule="exact"/>
        <w:ind w:firstLineChars="200" w:firstLine="560"/>
        <w:rPr>
          <w:rFonts w:asciiTheme="minorEastAsia" w:eastAsiaTheme="minorEastAsia" w:hAnsiTheme="minorEastAsia"/>
          <w:sz w:val="28"/>
          <w:szCs w:val="28"/>
        </w:rPr>
      </w:pPr>
      <w:r w:rsidRPr="00A41165">
        <w:rPr>
          <w:rFonts w:asciiTheme="minorEastAsia" w:eastAsiaTheme="minorEastAsia" w:hAnsiTheme="minorEastAsia" w:hint="eastAsia"/>
          <w:sz w:val="28"/>
          <w:szCs w:val="28"/>
        </w:rPr>
        <w:t>利鑫</w:t>
      </w:r>
      <w:r w:rsidRPr="00A41165">
        <w:rPr>
          <w:rFonts w:asciiTheme="minorEastAsia" w:eastAsiaTheme="minorEastAsia" w:hAnsiTheme="minorEastAsia"/>
          <w:sz w:val="28"/>
          <w:szCs w:val="28"/>
        </w:rPr>
        <w:t>系列产品按照自上而下的方法对计划财产进行动态的整体资产配置和类属资产配置。一方面根据整体资产配置要求通过积极的投资策略主动寻找风险中蕴藏的投资机</w:t>
      </w:r>
      <w:r w:rsidRPr="00A41165">
        <w:rPr>
          <w:rFonts w:asciiTheme="minorEastAsia" w:eastAsiaTheme="minorEastAsia" w:hAnsiTheme="minorEastAsia"/>
          <w:w w:val="95"/>
          <w:sz w:val="28"/>
          <w:szCs w:val="28"/>
        </w:rPr>
        <w:t xml:space="preserve">会，发掘价格被低估的且符合流动性要求的合适投资品种； </w:t>
      </w:r>
      <w:r w:rsidRPr="00A41165">
        <w:rPr>
          <w:rFonts w:asciiTheme="minorEastAsia" w:eastAsiaTheme="minorEastAsia" w:hAnsiTheme="minorEastAsia"/>
          <w:sz w:val="28"/>
          <w:szCs w:val="28"/>
        </w:rPr>
        <w:t>另一方面通过风险预算管理、平均剩余期限控制和信用等级限定等方式有效控制投资风险，从而在一定的风险限制范围</w:t>
      </w:r>
      <w:r w:rsidR="008A09CE">
        <w:rPr>
          <w:rFonts w:asciiTheme="minorEastAsia" w:eastAsiaTheme="minorEastAsia" w:hAnsiTheme="minorEastAsia" w:hint="eastAsia"/>
          <w:sz w:val="28"/>
          <w:szCs w:val="28"/>
        </w:rPr>
        <w:t>内达到风险收益最佳配比。</w:t>
      </w:r>
    </w:p>
    <w:p w:rsidR="00873F04" w:rsidRPr="00873F04" w:rsidRDefault="00873F04" w:rsidP="00873F04">
      <w:pPr>
        <w:pStyle w:val="a5"/>
        <w:numPr>
          <w:ilvl w:val="0"/>
          <w:numId w:val="4"/>
        </w:numPr>
        <w:spacing w:line="492" w:lineRule="exact"/>
        <w:rPr>
          <w:rFonts w:asciiTheme="minorEastAsia" w:eastAsiaTheme="minorEastAsia" w:hAnsiTheme="minorEastAsia"/>
          <w:color w:val="000000" w:themeColor="text1"/>
          <w:sz w:val="28"/>
          <w:szCs w:val="28"/>
          <w:lang w:val="en-US"/>
        </w:rPr>
      </w:pPr>
      <w:r w:rsidRPr="00873F04">
        <w:rPr>
          <w:rFonts w:asciiTheme="minorEastAsia" w:eastAsiaTheme="minorEastAsia" w:hAnsiTheme="minorEastAsia"/>
          <w:color w:val="000000" w:themeColor="text1"/>
          <w:sz w:val="28"/>
          <w:szCs w:val="28"/>
          <w:lang w:val="en-US"/>
        </w:rPr>
        <w:t>整体资产配置策略</w:t>
      </w:r>
    </w:p>
    <w:p w:rsidR="00873F04" w:rsidRDefault="00873F04" w:rsidP="00873F04">
      <w:pPr>
        <w:spacing w:line="492" w:lineRule="exact"/>
        <w:ind w:firstLineChars="200" w:firstLine="560"/>
        <w:rPr>
          <w:rFonts w:asciiTheme="minorEastAsia" w:eastAsiaTheme="minorEastAsia" w:hAnsiTheme="minorEastAsia"/>
          <w:color w:val="000000" w:themeColor="text1"/>
          <w:sz w:val="28"/>
          <w:szCs w:val="28"/>
          <w:lang w:val="en-US"/>
        </w:rPr>
      </w:pPr>
      <w:r w:rsidRPr="00873F04">
        <w:rPr>
          <w:rFonts w:asciiTheme="minorEastAsia" w:eastAsiaTheme="minorEastAsia" w:hAnsiTheme="minorEastAsia" w:hint="eastAsia"/>
          <w:color w:val="000000" w:themeColor="text1"/>
          <w:sz w:val="28"/>
          <w:szCs w:val="28"/>
          <w:lang w:val="en-US"/>
        </w:rPr>
        <w:t>通过对国内外宏观经济状况、市场利率走势、市场资金供求情况，以及证券市场走势、信用风险情况、风险预算和有关法律法规等因素的综合分析，在整体资产之间进行动态配置，确定资产的最优配置比例和相应的风险水平。</w:t>
      </w:r>
    </w:p>
    <w:p w:rsidR="00873F04" w:rsidRPr="00873F04" w:rsidRDefault="00873F04" w:rsidP="00873F04">
      <w:pPr>
        <w:pStyle w:val="a5"/>
        <w:numPr>
          <w:ilvl w:val="0"/>
          <w:numId w:val="4"/>
        </w:numPr>
        <w:spacing w:line="492" w:lineRule="exact"/>
        <w:rPr>
          <w:rFonts w:asciiTheme="minorEastAsia" w:eastAsiaTheme="minorEastAsia" w:hAnsiTheme="minorEastAsia"/>
          <w:color w:val="000000" w:themeColor="text1"/>
          <w:sz w:val="28"/>
          <w:szCs w:val="28"/>
          <w:lang w:val="en-US"/>
        </w:rPr>
      </w:pPr>
      <w:r w:rsidRPr="00873F04">
        <w:rPr>
          <w:rFonts w:asciiTheme="minorEastAsia" w:eastAsiaTheme="minorEastAsia" w:hAnsiTheme="minorEastAsia"/>
          <w:color w:val="000000" w:themeColor="text1"/>
          <w:sz w:val="28"/>
          <w:szCs w:val="28"/>
          <w:lang w:val="en-US"/>
        </w:rPr>
        <w:t>类属资产配置策略</w:t>
      </w:r>
    </w:p>
    <w:p w:rsidR="00873F04" w:rsidRDefault="00873F04" w:rsidP="00873F04">
      <w:pPr>
        <w:spacing w:line="492" w:lineRule="exact"/>
        <w:ind w:firstLineChars="200" w:firstLine="560"/>
        <w:rPr>
          <w:rFonts w:asciiTheme="minorEastAsia" w:eastAsiaTheme="minorEastAsia" w:hAnsiTheme="minorEastAsia"/>
          <w:color w:val="000000" w:themeColor="text1"/>
          <w:sz w:val="28"/>
          <w:szCs w:val="28"/>
          <w:lang w:val="en-US"/>
        </w:rPr>
      </w:pPr>
      <w:r w:rsidRPr="00873F04">
        <w:rPr>
          <w:rFonts w:asciiTheme="minorEastAsia" w:eastAsiaTheme="minorEastAsia" w:hAnsiTheme="minorEastAsia" w:hint="eastAsia"/>
          <w:color w:val="000000" w:themeColor="text1"/>
          <w:sz w:val="28"/>
          <w:szCs w:val="28"/>
          <w:lang w:val="en-US"/>
        </w:rPr>
        <w:t>在整体资产配置策略的指导下，根据资产的风险来源、</w:t>
      </w:r>
      <w:r w:rsidRPr="00873F04">
        <w:rPr>
          <w:rFonts w:asciiTheme="minorEastAsia" w:eastAsiaTheme="minorEastAsia" w:hAnsiTheme="minorEastAsia"/>
          <w:color w:val="000000" w:themeColor="text1"/>
          <w:sz w:val="28"/>
          <w:szCs w:val="28"/>
          <w:lang w:val="en-US"/>
        </w:rPr>
        <w:t xml:space="preserve"> 收益率水平以及市场流动性等因素，根据不同资产类属（例如债券、货币、现金等），采取积极投资策略，定期对投资组合类属资产进行最优化</w:t>
      </w:r>
      <w:r w:rsidRPr="00873F04">
        <w:rPr>
          <w:rFonts w:asciiTheme="minorEastAsia" w:eastAsiaTheme="minorEastAsia" w:hAnsiTheme="minorEastAsia"/>
          <w:color w:val="000000" w:themeColor="text1"/>
          <w:sz w:val="28"/>
          <w:szCs w:val="28"/>
          <w:lang w:val="en-US"/>
        </w:rPr>
        <w:lastRenderedPageBreak/>
        <w:t>配置和调整，确定类属资产的最优权数。</w:t>
      </w:r>
    </w:p>
    <w:p w:rsidR="005177EC" w:rsidRPr="005177EC" w:rsidRDefault="005177EC" w:rsidP="005177EC">
      <w:pPr>
        <w:pStyle w:val="a5"/>
        <w:numPr>
          <w:ilvl w:val="0"/>
          <w:numId w:val="4"/>
        </w:numPr>
        <w:spacing w:line="492" w:lineRule="exact"/>
        <w:rPr>
          <w:rFonts w:asciiTheme="minorEastAsia" w:eastAsiaTheme="minorEastAsia" w:hAnsiTheme="minorEastAsia"/>
          <w:color w:val="000000" w:themeColor="text1"/>
          <w:sz w:val="28"/>
          <w:szCs w:val="28"/>
          <w:lang w:val="en-US"/>
        </w:rPr>
      </w:pPr>
      <w:r w:rsidRPr="005177EC">
        <w:rPr>
          <w:rFonts w:asciiTheme="minorEastAsia" w:eastAsiaTheme="minorEastAsia" w:hAnsiTheme="minorEastAsia"/>
          <w:color w:val="000000" w:themeColor="text1"/>
          <w:sz w:val="28"/>
          <w:szCs w:val="28"/>
          <w:lang w:val="en-US"/>
        </w:rPr>
        <w:t>明细资产配置策略</w:t>
      </w:r>
    </w:p>
    <w:p w:rsidR="005177EC" w:rsidRDefault="005177EC" w:rsidP="005177EC">
      <w:pPr>
        <w:spacing w:line="492" w:lineRule="exact"/>
        <w:ind w:firstLineChars="200" w:firstLine="560"/>
        <w:rPr>
          <w:rFonts w:asciiTheme="minorEastAsia" w:eastAsiaTheme="minorEastAsia" w:hAnsiTheme="minorEastAsia"/>
          <w:color w:val="000000" w:themeColor="text1"/>
          <w:sz w:val="28"/>
          <w:szCs w:val="28"/>
          <w:lang w:val="en-US"/>
        </w:rPr>
      </w:pPr>
      <w:r w:rsidRPr="005177EC">
        <w:rPr>
          <w:rFonts w:asciiTheme="minorEastAsia" w:eastAsiaTheme="minorEastAsia" w:hAnsiTheme="minorEastAsia" w:hint="eastAsia"/>
          <w:color w:val="000000" w:themeColor="text1"/>
          <w:sz w:val="28"/>
          <w:szCs w:val="28"/>
          <w:lang w:val="en-US"/>
        </w:rPr>
        <w:t>在明细资产配置上，首先根据明细资产的剩余期限、资产信用等级、流动性指标决定是否纳入组合；其次，根据个别资产的收益率与剩余期限的配比，对照利鑫系列产品的收益要求决定是否纳入组合；最后，根据个别资产的流动性指标，决定投资总量。</w:t>
      </w:r>
    </w:p>
    <w:p w:rsidR="0093754A" w:rsidRPr="000B133E" w:rsidRDefault="0093754A" w:rsidP="0093754A">
      <w:pPr>
        <w:pStyle w:val="a5"/>
        <w:numPr>
          <w:ilvl w:val="0"/>
          <w:numId w:val="3"/>
        </w:numPr>
        <w:spacing w:line="492" w:lineRule="exact"/>
        <w:rPr>
          <w:rFonts w:ascii="仿宋" w:eastAsia="仿宋" w:hAnsi="仿宋"/>
          <w:b/>
          <w:sz w:val="30"/>
        </w:rPr>
      </w:pPr>
      <w:r>
        <w:rPr>
          <w:rFonts w:ascii="仿宋" w:eastAsia="仿宋" w:hAnsi="仿宋" w:hint="eastAsia"/>
          <w:b/>
          <w:sz w:val="30"/>
        </w:rPr>
        <w:t>投资组合情况</w:t>
      </w:r>
      <w:r w:rsidRPr="000B133E">
        <w:rPr>
          <w:rFonts w:ascii="仿宋" w:eastAsia="仿宋" w:hAnsi="仿宋" w:hint="eastAsia"/>
          <w:b/>
          <w:sz w:val="30"/>
        </w:rPr>
        <w:t>：</w:t>
      </w:r>
    </w:p>
    <w:p w:rsidR="0093754A" w:rsidRDefault="0093754A" w:rsidP="00C90A0F">
      <w:pPr>
        <w:pStyle w:val="a5"/>
        <w:numPr>
          <w:ilvl w:val="0"/>
          <w:numId w:val="5"/>
        </w:numPr>
        <w:spacing w:line="492" w:lineRule="exact"/>
        <w:rPr>
          <w:rFonts w:asciiTheme="minorEastAsia" w:eastAsiaTheme="minorEastAsia" w:hAnsiTheme="minorEastAsia"/>
          <w:b/>
          <w:sz w:val="28"/>
          <w:szCs w:val="28"/>
        </w:rPr>
      </w:pPr>
      <w:r w:rsidRPr="00C90A0F">
        <w:rPr>
          <w:rFonts w:asciiTheme="minorEastAsia" w:eastAsiaTheme="minorEastAsia" w:hAnsiTheme="minorEastAsia" w:hint="eastAsia"/>
          <w:b/>
          <w:sz w:val="28"/>
          <w:szCs w:val="28"/>
          <w:lang w:val="en-US"/>
        </w:rPr>
        <w:t>报告</w:t>
      </w:r>
      <w:r w:rsidRPr="00C90A0F">
        <w:rPr>
          <w:rFonts w:asciiTheme="minorEastAsia" w:eastAsiaTheme="minorEastAsia" w:hAnsiTheme="minorEastAsia" w:hint="eastAsia"/>
          <w:b/>
          <w:sz w:val="28"/>
          <w:szCs w:val="28"/>
        </w:rPr>
        <w:t>期末产品资产组合情况</w:t>
      </w:r>
      <w:r w:rsidR="00C90A0F">
        <w:rPr>
          <w:rFonts w:asciiTheme="minorEastAsia" w:eastAsiaTheme="minorEastAsia" w:hAnsiTheme="minorEastAsia" w:hint="eastAsia"/>
          <w:b/>
          <w:sz w:val="28"/>
          <w:szCs w:val="28"/>
        </w:rPr>
        <w:t>：</w:t>
      </w:r>
    </w:p>
    <w:p w:rsidR="00C90A0F" w:rsidRPr="00C90A0F" w:rsidRDefault="00C90A0F" w:rsidP="00C90A0F">
      <w:pPr>
        <w:pStyle w:val="a5"/>
        <w:spacing w:line="492" w:lineRule="exact"/>
        <w:ind w:left="1185" w:firstLine="0"/>
        <w:rPr>
          <w:rFonts w:asciiTheme="minorEastAsia" w:eastAsiaTheme="minorEastAsia" w:hAnsiTheme="minorEastAsia"/>
          <w:b/>
          <w:sz w:val="28"/>
          <w:szCs w:val="28"/>
          <w:lang w:val="en-US"/>
        </w:rPr>
      </w:pPr>
    </w:p>
    <w:tbl>
      <w:tblPr>
        <w:tblW w:w="7953" w:type="dxa"/>
        <w:tblInd w:w="93" w:type="dxa"/>
        <w:tblLook w:val="04A0"/>
      </w:tblPr>
      <w:tblGrid>
        <w:gridCol w:w="2425"/>
        <w:gridCol w:w="2977"/>
        <w:gridCol w:w="2551"/>
      </w:tblGrid>
      <w:tr w:rsidR="00955F04" w:rsidRPr="00955F04" w:rsidTr="00955F04">
        <w:trPr>
          <w:trHeight w:val="270"/>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项目</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资产类型</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占投资组合比例</w:t>
            </w:r>
          </w:p>
        </w:tc>
      </w:tr>
      <w:tr w:rsidR="00955F04" w:rsidRPr="00955F04" w:rsidTr="00955F04">
        <w:trPr>
          <w:trHeight w:val="270"/>
        </w:trPr>
        <w:tc>
          <w:tcPr>
            <w:tcW w:w="24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固定收益类</w:t>
            </w:r>
          </w:p>
        </w:tc>
        <w:tc>
          <w:tcPr>
            <w:tcW w:w="2977" w:type="dxa"/>
            <w:tcBorders>
              <w:top w:val="nil"/>
              <w:left w:val="nil"/>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现金、存款及回购</w:t>
            </w:r>
          </w:p>
        </w:tc>
        <w:tc>
          <w:tcPr>
            <w:tcW w:w="2551" w:type="dxa"/>
            <w:tcBorders>
              <w:top w:val="nil"/>
              <w:left w:val="nil"/>
              <w:bottom w:val="single" w:sz="4" w:space="0" w:color="auto"/>
              <w:right w:val="single" w:sz="4" w:space="0" w:color="auto"/>
            </w:tcBorders>
            <w:shd w:val="clear" w:color="auto" w:fill="auto"/>
            <w:noWrap/>
            <w:vAlign w:val="center"/>
            <w:hideMark/>
          </w:tcPr>
          <w:p w:rsidR="00955F04" w:rsidRPr="00955F04" w:rsidRDefault="00256963" w:rsidP="006831C4">
            <w:pPr>
              <w:widowControl/>
              <w:autoSpaceDE/>
              <w:autoSpaceDN/>
              <w:jc w:val="center"/>
              <w:rPr>
                <w:rFonts w:ascii="宋体" w:eastAsia="宋体" w:hAnsi="宋体" w:cs="宋体"/>
                <w:color w:val="000000"/>
                <w:lang w:val="en-US" w:bidi="ar-SA"/>
              </w:rPr>
            </w:pPr>
            <w:r>
              <w:rPr>
                <w:rFonts w:hint="eastAsia"/>
                <w:color w:val="000000"/>
                <w:lang w:val="en-US" w:bidi="ar-SA"/>
              </w:rPr>
              <w:t>100</w:t>
            </w:r>
            <w:r w:rsidR="00B108B4">
              <w:rPr>
                <w:rFonts w:hint="eastAsia"/>
                <w:color w:val="000000"/>
                <w:lang w:val="en-US" w:bidi="ar-SA"/>
              </w:rPr>
              <w:t>%</w:t>
            </w:r>
          </w:p>
        </w:tc>
      </w:tr>
      <w:tr w:rsidR="00955F04" w:rsidRPr="00955F04" w:rsidTr="00955F04">
        <w:trPr>
          <w:trHeight w:val="270"/>
        </w:trPr>
        <w:tc>
          <w:tcPr>
            <w:tcW w:w="2425" w:type="dxa"/>
            <w:vMerge/>
            <w:tcBorders>
              <w:top w:val="nil"/>
              <w:left w:val="single" w:sz="4" w:space="0" w:color="auto"/>
              <w:bottom w:val="single" w:sz="4" w:space="0" w:color="auto"/>
              <w:right w:val="single" w:sz="4" w:space="0" w:color="auto"/>
            </w:tcBorders>
            <w:vAlign w:val="center"/>
            <w:hideMark/>
          </w:tcPr>
          <w:p w:rsidR="00955F04" w:rsidRPr="00955F04" w:rsidRDefault="00955F04" w:rsidP="00955F04">
            <w:pPr>
              <w:widowControl/>
              <w:autoSpaceDE/>
              <w:autoSpaceDN/>
              <w:rPr>
                <w:rFonts w:ascii="宋体" w:eastAsia="宋体" w:hAnsi="宋体" w:cs="宋体"/>
                <w:color w:val="000000"/>
                <w:lang w:val="en-US" w:bidi="ar-SA"/>
              </w:rPr>
            </w:pPr>
          </w:p>
        </w:tc>
        <w:tc>
          <w:tcPr>
            <w:tcW w:w="2977" w:type="dxa"/>
            <w:tcBorders>
              <w:top w:val="nil"/>
              <w:left w:val="nil"/>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债券类、ABS 等</w:t>
            </w:r>
          </w:p>
        </w:tc>
        <w:tc>
          <w:tcPr>
            <w:tcW w:w="2551" w:type="dxa"/>
            <w:tcBorders>
              <w:top w:val="nil"/>
              <w:left w:val="nil"/>
              <w:bottom w:val="single" w:sz="4" w:space="0" w:color="auto"/>
              <w:right w:val="single" w:sz="4" w:space="0" w:color="auto"/>
            </w:tcBorders>
            <w:shd w:val="clear" w:color="auto" w:fill="auto"/>
            <w:noWrap/>
            <w:vAlign w:val="center"/>
            <w:hideMark/>
          </w:tcPr>
          <w:p w:rsidR="00955F04" w:rsidRPr="00955F04" w:rsidRDefault="00256963" w:rsidP="00256963">
            <w:pPr>
              <w:widowControl/>
              <w:autoSpaceDE/>
              <w:autoSpaceDN/>
              <w:jc w:val="center"/>
              <w:rPr>
                <w:rFonts w:ascii="宋体" w:eastAsia="宋体" w:hAnsi="宋体" w:cs="宋体"/>
                <w:color w:val="000000"/>
                <w:lang w:val="en-US" w:bidi="ar-SA"/>
              </w:rPr>
            </w:pPr>
            <w:r>
              <w:rPr>
                <w:rFonts w:hint="eastAsia"/>
                <w:color w:val="000000"/>
                <w:lang w:val="en-US" w:bidi="ar-SA"/>
              </w:rPr>
              <w:t>0</w:t>
            </w:r>
          </w:p>
        </w:tc>
      </w:tr>
      <w:tr w:rsidR="00955F04" w:rsidRPr="00955F04" w:rsidTr="00955F04">
        <w:trPr>
          <w:trHeight w:val="270"/>
        </w:trPr>
        <w:tc>
          <w:tcPr>
            <w:tcW w:w="2425" w:type="dxa"/>
            <w:vMerge/>
            <w:tcBorders>
              <w:top w:val="nil"/>
              <w:left w:val="single" w:sz="4" w:space="0" w:color="auto"/>
              <w:bottom w:val="single" w:sz="4" w:space="0" w:color="auto"/>
              <w:right w:val="single" w:sz="4" w:space="0" w:color="auto"/>
            </w:tcBorders>
            <w:vAlign w:val="center"/>
            <w:hideMark/>
          </w:tcPr>
          <w:p w:rsidR="00955F04" w:rsidRPr="00955F04" w:rsidRDefault="00955F04" w:rsidP="00955F04">
            <w:pPr>
              <w:widowControl/>
              <w:autoSpaceDE/>
              <w:autoSpaceDN/>
              <w:rPr>
                <w:rFonts w:ascii="宋体" w:eastAsia="宋体" w:hAnsi="宋体" w:cs="宋体"/>
                <w:color w:val="000000"/>
                <w:lang w:val="en-US" w:bidi="ar-SA"/>
              </w:rPr>
            </w:pPr>
          </w:p>
        </w:tc>
        <w:tc>
          <w:tcPr>
            <w:tcW w:w="2977" w:type="dxa"/>
            <w:tcBorders>
              <w:top w:val="nil"/>
              <w:left w:val="nil"/>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债权类资产</w:t>
            </w:r>
          </w:p>
        </w:tc>
        <w:tc>
          <w:tcPr>
            <w:tcW w:w="2551" w:type="dxa"/>
            <w:tcBorders>
              <w:top w:val="nil"/>
              <w:left w:val="nil"/>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0</w:t>
            </w:r>
          </w:p>
        </w:tc>
      </w:tr>
      <w:tr w:rsidR="00955F04" w:rsidRPr="00955F04" w:rsidTr="00955F04">
        <w:trPr>
          <w:trHeight w:val="270"/>
        </w:trPr>
        <w:tc>
          <w:tcPr>
            <w:tcW w:w="2425" w:type="dxa"/>
            <w:vMerge/>
            <w:tcBorders>
              <w:top w:val="nil"/>
              <w:left w:val="single" w:sz="4" w:space="0" w:color="auto"/>
              <w:bottom w:val="single" w:sz="4" w:space="0" w:color="auto"/>
              <w:right w:val="single" w:sz="4" w:space="0" w:color="auto"/>
            </w:tcBorders>
            <w:vAlign w:val="center"/>
            <w:hideMark/>
          </w:tcPr>
          <w:p w:rsidR="00955F04" w:rsidRPr="00955F04" w:rsidRDefault="00955F04" w:rsidP="00955F04">
            <w:pPr>
              <w:widowControl/>
              <w:autoSpaceDE/>
              <w:autoSpaceDN/>
              <w:rPr>
                <w:rFonts w:ascii="宋体" w:eastAsia="宋体" w:hAnsi="宋体" w:cs="宋体"/>
                <w:color w:val="000000"/>
                <w:lang w:val="en-US" w:bidi="ar-SA"/>
              </w:rPr>
            </w:pPr>
          </w:p>
        </w:tc>
        <w:tc>
          <w:tcPr>
            <w:tcW w:w="2977" w:type="dxa"/>
            <w:tcBorders>
              <w:top w:val="nil"/>
              <w:left w:val="nil"/>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其他</w:t>
            </w:r>
          </w:p>
        </w:tc>
        <w:tc>
          <w:tcPr>
            <w:tcW w:w="2551" w:type="dxa"/>
            <w:tcBorders>
              <w:top w:val="nil"/>
              <w:left w:val="nil"/>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0</w:t>
            </w:r>
          </w:p>
        </w:tc>
      </w:tr>
      <w:tr w:rsidR="00955F04" w:rsidRPr="00955F04" w:rsidTr="00955F04">
        <w:trPr>
          <w:trHeight w:val="27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权益类</w:t>
            </w:r>
          </w:p>
        </w:tc>
        <w:tc>
          <w:tcPr>
            <w:tcW w:w="2551" w:type="dxa"/>
            <w:tcBorders>
              <w:top w:val="nil"/>
              <w:left w:val="nil"/>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0</w:t>
            </w:r>
          </w:p>
        </w:tc>
      </w:tr>
      <w:tr w:rsidR="00955F04" w:rsidRPr="00955F04" w:rsidTr="00955F04">
        <w:trPr>
          <w:trHeight w:val="27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商品及金融衍生品</w:t>
            </w:r>
          </w:p>
        </w:tc>
        <w:tc>
          <w:tcPr>
            <w:tcW w:w="2551" w:type="dxa"/>
            <w:tcBorders>
              <w:top w:val="nil"/>
              <w:left w:val="nil"/>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0</w:t>
            </w:r>
          </w:p>
        </w:tc>
      </w:tr>
      <w:tr w:rsidR="00955F04" w:rsidRPr="00955F04" w:rsidTr="00955F04">
        <w:trPr>
          <w:trHeight w:val="27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5F04" w:rsidRPr="00955F04" w:rsidRDefault="005F683C" w:rsidP="00955F04">
            <w:pPr>
              <w:widowControl/>
              <w:autoSpaceDE/>
              <w:autoSpaceDN/>
              <w:jc w:val="center"/>
              <w:rPr>
                <w:rFonts w:ascii="宋体" w:eastAsia="宋体" w:hAnsi="宋体" w:cs="宋体"/>
                <w:color w:val="000000"/>
                <w:lang w:val="en-US" w:bidi="ar-SA"/>
              </w:rPr>
            </w:pPr>
            <w:r>
              <w:rPr>
                <w:rFonts w:ascii="宋体" w:eastAsia="宋体" w:hAnsi="宋体" w:cs="宋体" w:hint="eastAsia"/>
                <w:color w:val="000000"/>
                <w:lang w:val="en-US" w:bidi="ar-SA"/>
              </w:rPr>
              <w:t>0</w:t>
            </w:r>
            <w:r w:rsidR="00955F04" w:rsidRPr="00955F04">
              <w:rPr>
                <w:rFonts w:ascii="宋体" w:eastAsia="宋体" w:hAnsi="宋体" w:cs="宋体" w:hint="eastAsia"/>
                <w:color w:val="000000"/>
                <w:lang w:val="en-US" w:bidi="ar-SA"/>
              </w:rPr>
              <w:t>其他类资产</w:t>
            </w:r>
          </w:p>
        </w:tc>
        <w:tc>
          <w:tcPr>
            <w:tcW w:w="2551" w:type="dxa"/>
            <w:tcBorders>
              <w:top w:val="nil"/>
              <w:left w:val="nil"/>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0</w:t>
            </w:r>
          </w:p>
        </w:tc>
      </w:tr>
      <w:tr w:rsidR="00955F04" w:rsidRPr="00955F04" w:rsidTr="00955F04">
        <w:trPr>
          <w:trHeight w:val="27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合计</w:t>
            </w:r>
          </w:p>
        </w:tc>
        <w:tc>
          <w:tcPr>
            <w:tcW w:w="2551" w:type="dxa"/>
            <w:tcBorders>
              <w:top w:val="nil"/>
              <w:left w:val="nil"/>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100%</w:t>
            </w:r>
          </w:p>
        </w:tc>
      </w:tr>
    </w:tbl>
    <w:p w:rsidR="00C90A0F" w:rsidRDefault="00C90A0F" w:rsidP="00C90A0F">
      <w:pPr>
        <w:spacing w:line="492" w:lineRule="exact"/>
        <w:ind w:firstLineChars="200" w:firstLine="562"/>
        <w:rPr>
          <w:rFonts w:asciiTheme="minorEastAsia" w:eastAsiaTheme="minorEastAsia" w:hAnsiTheme="minorEastAsia"/>
          <w:b/>
          <w:color w:val="000000" w:themeColor="text1"/>
          <w:sz w:val="28"/>
          <w:szCs w:val="28"/>
          <w:lang w:val="en-US"/>
        </w:rPr>
      </w:pPr>
    </w:p>
    <w:p w:rsidR="0093754A" w:rsidRPr="00C90A0F" w:rsidRDefault="00955F04" w:rsidP="00C90A0F">
      <w:pPr>
        <w:spacing w:line="492" w:lineRule="exact"/>
        <w:ind w:firstLineChars="200" w:firstLine="562"/>
        <w:rPr>
          <w:rFonts w:asciiTheme="minorEastAsia" w:eastAsiaTheme="minorEastAsia" w:hAnsiTheme="minorEastAsia"/>
          <w:b/>
          <w:color w:val="000000" w:themeColor="text1"/>
          <w:sz w:val="28"/>
          <w:szCs w:val="28"/>
          <w:lang w:val="en-US"/>
        </w:rPr>
      </w:pPr>
      <w:r w:rsidRPr="00C90A0F">
        <w:rPr>
          <w:rFonts w:asciiTheme="minorEastAsia" w:eastAsiaTheme="minorEastAsia" w:hAnsiTheme="minorEastAsia" w:hint="eastAsia"/>
          <w:b/>
          <w:color w:val="000000" w:themeColor="text1"/>
          <w:sz w:val="28"/>
          <w:szCs w:val="28"/>
          <w:lang w:val="en-US"/>
        </w:rPr>
        <w:t>2、报告期末杠杆融资情况</w:t>
      </w:r>
      <w:r w:rsidRPr="00C90A0F">
        <w:rPr>
          <w:rFonts w:asciiTheme="minorEastAsia" w:eastAsiaTheme="minorEastAsia" w:hAnsiTheme="minorEastAsia"/>
          <w:b/>
          <w:color w:val="000000" w:themeColor="text1"/>
          <w:sz w:val="28"/>
          <w:szCs w:val="28"/>
          <w:lang w:val="en-US"/>
        </w:rPr>
        <w:t xml:space="preserve"> ：</w:t>
      </w:r>
      <w:r w:rsidRPr="00C90A0F">
        <w:rPr>
          <w:rFonts w:asciiTheme="minorEastAsia" w:eastAsiaTheme="minorEastAsia" w:hAnsiTheme="minorEastAsia"/>
          <w:color w:val="000000" w:themeColor="text1"/>
          <w:sz w:val="28"/>
          <w:szCs w:val="28"/>
          <w:lang w:val="en-US"/>
        </w:rPr>
        <w:t>无</w:t>
      </w:r>
    </w:p>
    <w:p w:rsidR="00C90A0F" w:rsidRDefault="00C90A0F" w:rsidP="00C90A0F">
      <w:pPr>
        <w:spacing w:line="492" w:lineRule="exact"/>
        <w:ind w:firstLineChars="200" w:firstLine="562"/>
        <w:rPr>
          <w:rFonts w:asciiTheme="minorEastAsia" w:eastAsiaTheme="minorEastAsia" w:hAnsiTheme="minorEastAsia"/>
          <w:b/>
          <w:color w:val="000000" w:themeColor="text1"/>
          <w:sz w:val="28"/>
          <w:szCs w:val="28"/>
          <w:lang w:val="en-US"/>
        </w:rPr>
      </w:pPr>
    </w:p>
    <w:p w:rsidR="00955F04" w:rsidRPr="00C90A0F" w:rsidRDefault="00955F04" w:rsidP="00C90A0F">
      <w:pPr>
        <w:spacing w:line="492" w:lineRule="exact"/>
        <w:ind w:firstLineChars="200" w:firstLine="562"/>
        <w:rPr>
          <w:rFonts w:asciiTheme="minorEastAsia" w:eastAsiaTheme="minorEastAsia" w:hAnsiTheme="minorEastAsia"/>
          <w:b/>
          <w:color w:val="000000" w:themeColor="text1"/>
          <w:sz w:val="28"/>
          <w:szCs w:val="28"/>
          <w:lang w:val="en-US"/>
        </w:rPr>
      </w:pPr>
      <w:r w:rsidRPr="00C90A0F">
        <w:rPr>
          <w:rFonts w:asciiTheme="minorEastAsia" w:eastAsiaTheme="minorEastAsia" w:hAnsiTheme="minorEastAsia" w:hint="eastAsia"/>
          <w:b/>
          <w:color w:val="000000" w:themeColor="text1"/>
          <w:sz w:val="28"/>
          <w:szCs w:val="28"/>
          <w:lang w:val="en-US"/>
        </w:rPr>
        <w:t>3、非标准化债券类资产明细：</w:t>
      </w:r>
      <w:r w:rsidRPr="00C90A0F">
        <w:rPr>
          <w:rFonts w:asciiTheme="minorEastAsia" w:eastAsiaTheme="minorEastAsia" w:hAnsiTheme="minorEastAsia" w:hint="eastAsia"/>
          <w:color w:val="000000" w:themeColor="text1"/>
          <w:sz w:val="28"/>
          <w:szCs w:val="28"/>
          <w:lang w:val="en-US"/>
        </w:rPr>
        <w:t>无</w:t>
      </w:r>
    </w:p>
    <w:p w:rsidR="00C90A0F" w:rsidRDefault="00C90A0F" w:rsidP="00C90A0F">
      <w:pPr>
        <w:spacing w:line="492" w:lineRule="exact"/>
        <w:ind w:firstLineChars="200" w:firstLine="562"/>
        <w:rPr>
          <w:rFonts w:asciiTheme="minorEastAsia" w:eastAsiaTheme="minorEastAsia" w:hAnsiTheme="minorEastAsia"/>
          <w:b/>
          <w:color w:val="000000" w:themeColor="text1"/>
          <w:sz w:val="28"/>
          <w:szCs w:val="28"/>
          <w:lang w:val="en-US"/>
        </w:rPr>
      </w:pPr>
    </w:p>
    <w:p w:rsidR="00955F04" w:rsidRPr="00C90A0F" w:rsidRDefault="00955F04" w:rsidP="00C90A0F">
      <w:pPr>
        <w:spacing w:line="492" w:lineRule="exact"/>
        <w:ind w:firstLineChars="200" w:firstLine="562"/>
        <w:rPr>
          <w:rFonts w:asciiTheme="minorEastAsia" w:eastAsiaTheme="minorEastAsia" w:hAnsiTheme="minorEastAsia"/>
          <w:b/>
          <w:color w:val="000000" w:themeColor="text1"/>
          <w:sz w:val="28"/>
          <w:szCs w:val="28"/>
          <w:lang w:val="en-US"/>
        </w:rPr>
      </w:pPr>
      <w:r w:rsidRPr="00C90A0F">
        <w:rPr>
          <w:rFonts w:asciiTheme="minorEastAsia" w:eastAsiaTheme="minorEastAsia" w:hAnsiTheme="minorEastAsia" w:hint="eastAsia"/>
          <w:b/>
          <w:color w:val="000000" w:themeColor="text1"/>
          <w:sz w:val="28"/>
          <w:szCs w:val="28"/>
          <w:lang w:val="en-US"/>
        </w:rPr>
        <w:t>4、报告期末资产持仓前十基本信息</w:t>
      </w:r>
      <w:r w:rsidR="00C90A0F" w:rsidRPr="00C90A0F">
        <w:rPr>
          <w:rFonts w:asciiTheme="minorEastAsia" w:eastAsiaTheme="minorEastAsia" w:hAnsiTheme="minorEastAsia" w:hint="eastAsia"/>
          <w:b/>
          <w:color w:val="000000" w:themeColor="text1"/>
          <w:sz w:val="28"/>
          <w:szCs w:val="28"/>
          <w:lang w:val="en-US"/>
        </w:rPr>
        <w:t>：</w:t>
      </w:r>
    </w:p>
    <w:p w:rsidR="00C90A0F" w:rsidRDefault="00C90A0F" w:rsidP="005177EC">
      <w:pPr>
        <w:spacing w:line="492" w:lineRule="exact"/>
        <w:ind w:firstLineChars="200" w:firstLine="560"/>
        <w:rPr>
          <w:rFonts w:asciiTheme="minorEastAsia" w:eastAsiaTheme="minorEastAsia" w:hAnsiTheme="minorEastAsia"/>
          <w:color w:val="000000" w:themeColor="text1"/>
          <w:sz w:val="28"/>
          <w:szCs w:val="28"/>
          <w:lang w:val="en-US"/>
        </w:rPr>
      </w:pPr>
    </w:p>
    <w:tbl>
      <w:tblPr>
        <w:tblStyle w:val="TableNormal"/>
        <w:tblW w:w="79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8"/>
        <w:gridCol w:w="2977"/>
        <w:gridCol w:w="1701"/>
        <w:gridCol w:w="1842"/>
      </w:tblGrid>
      <w:tr w:rsidR="00C90A0F" w:rsidTr="00C90A0F">
        <w:trPr>
          <w:trHeight w:val="311"/>
        </w:trPr>
        <w:tc>
          <w:tcPr>
            <w:tcW w:w="1418" w:type="dxa"/>
          </w:tcPr>
          <w:p w:rsidR="00C90A0F" w:rsidRDefault="00C90A0F" w:rsidP="00C90A0F">
            <w:pPr>
              <w:pStyle w:val="TableParagraph"/>
              <w:spacing w:line="292" w:lineRule="exact"/>
              <w:ind w:left="395" w:right="389"/>
              <w:rPr>
                <w:rFonts w:ascii="Microsoft JhengHei" w:eastAsia="Microsoft JhengHei"/>
                <w:b/>
              </w:rPr>
            </w:pPr>
            <w:r>
              <w:rPr>
                <w:rFonts w:ascii="Microsoft JhengHei" w:eastAsia="Microsoft JhengHei" w:hint="eastAsia"/>
                <w:b/>
              </w:rPr>
              <w:t>序号</w:t>
            </w:r>
          </w:p>
        </w:tc>
        <w:tc>
          <w:tcPr>
            <w:tcW w:w="2977" w:type="dxa"/>
          </w:tcPr>
          <w:p w:rsidR="00C90A0F" w:rsidRDefault="00C90A0F" w:rsidP="00C90A0F">
            <w:pPr>
              <w:pStyle w:val="TableParagraph"/>
              <w:spacing w:line="292" w:lineRule="exact"/>
              <w:ind w:left="832"/>
              <w:rPr>
                <w:rFonts w:ascii="Microsoft JhengHei" w:eastAsia="Microsoft JhengHei"/>
                <w:b/>
              </w:rPr>
            </w:pPr>
            <w:r>
              <w:rPr>
                <w:rFonts w:ascii="Microsoft JhengHei" w:eastAsia="Microsoft JhengHei" w:hint="eastAsia"/>
                <w:b/>
              </w:rPr>
              <w:t>资产名称</w:t>
            </w:r>
          </w:p>
        </w:tc>
        <w:tc>
          <w:tcPr>
            <w:tcW w:w="1701" w:type="dxa"/>
          </w:tcPr>
          <w:p w:rsidR="00C90A0F" w:rsidRDefault="00C90A0F" w:rsidP="00C90A0F">
            <w:pPr>
              <w:pStyle w:val="TableParagraph"/>
              <w:spacing w:line="292" w:lineRule="exact"/>
              <w:ind w:left="496"/>
              <w:rPr>
                <w:rFonts w:ascii="Microsoft JhengHei" w:eastAsia="Microsoft JhengHei"/>
                <w:b/>
              </w:rPr>
            </w:pPr>
            <w:r>
              <w:rPr>
                <w:rFonts w:ascii="Microsoft JhengHei" w:eastAsia="Microsoft JhengHei" w:hint="eastAsia"/>
                <w:b/>
              </w:rPr>
              <w:t>规模（元）</w:t>
            </w:r>
          </w:p>
        </w:tc>
        <w:tc>
          <w:tcPr>
            <w:tcW w:w="1842" w:type="dxa"/>
          </w:tcPr>
          <w:p w:rsidR="00C90A0F" w:rsidRDefault="00C90A0F" w:rsidP="00C90A0F">
            <w:pPr>
              <w:pStyle w:val="TableParagraph"/>
              <w:spacing w:line="292" w:lineRule="exact"/>
              <w:ind w:left="319"/>
              <w:rPr>
                <w:rFonts w:ascii="Microsoft JhengHei" w:eastAsia="Microsoft JhengHei"/>
                <w:b/>
              </w:rPr>
            </w:pPr>
            <w:r>
              <w:rPr>
                <w:rFonts w:ascii="Microsoft JhengHei" w:eastAsia="Microsoft JhengHei" w:hint="eastAsia"/>
                <w:b/>
              </w:rPr>
              <w:t>占比</w:t>
            </w:r>
          </w:p>
        </w:tc>
      </w:tr>
      <w:tr w:rsidR="00F30827" w:rsidTr="00C90A0F">
        <w:trPr>
          <w:trHeight w:val="311"/>
        </w:trPr>
        <w:tc>
          <w:tcPr>
            <w:tcW w:w="1418" w:type="dxa"/>
          </w:tcPr>
          <w:p w:rsidR="00F30827" w:rsidRDefault="00F30827" w:rsidP="00C90A0F">
            <w:pPr>
              <w:pStyle w:val="TableParagraph"/>
              <w:spacing w:before="15" w:line="277" w:lineRule="exact"/>
              <w:ind w:left="6"/>
            </w:pPr>
            <w:r>
              <w:rPr>
                <w:rFonts w:hint="eastAsia"/>
              </w:rPr>
              <w:t>1</w:t>
            </w:r>
          </w:p>
        </w:tc>
        <w:tc>
          <w:tcPr>
            <w:tcW w:w="2977" w:type="dxa"/>
          </w:tcPr>
          <w:p w:rsidR="00F30827" w:rsidRPr="00256963" w:rsidRDefault="00987067" w:rsidP="00F30827">
            <w:pPr>
              <w:pStyle w:val="TableParagraph"/>
              <w:spacing w:before="22"/>
              <w:ind w:left="107"/>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四川新网</w:t>
            </w:r>
            <w:r w:rsidR="00256963" w:rsidRPr="00256963">
              <w:rPr>
                <w:rFonts w:asciiTheme="minorEastAsia" w:eastAsiaTheme="minorEastAsia" w:hAnsiTheme="minorEastAsia" w:hint="eastAsia"/>
                <w:sz w:val="21"/>
                <w:szCs w:val="21"/>
                <w:lang w:eastAsia="zh-CN"/>
              </w:rPr>
              <w:t>银行</w:t>
            </w:r>
            <w:r w:rsidR="00256963">
              <w:rPr>
                <w:rFonts w:asciiTheme="minorEastAsia" w:eastAsiaTheme="minorEastAsia" w:hAnsiTheme="minorEastAsia" w:hint="eastAsia"/>
                <w:sz w:val="21"/>
                <w:szCs w:val="21"/>
                <w:lang w:eastAsia="zh-CN"/>
              </w:rPr>
              <w:t>股份有限公司</w:t>
            </w:r>
            <w:r w:rsidR="00256963" w:rsidRPr="00256963">
              <w:rPr>
                <w:rFonts w:asciiTheme="minorEastAsia" w:eastAsiaTheme="minorEastAsia" w:hAnsiTheme="minorEastAsia" w:hint="eastAsia"/>
                <w:sz w:val="21"/>
                <w:szCs w:val="21"/>
                <w:lang w:eastAsia="zh-CN"/>
              </w:rPr>
              <w:t>同业存款</w:t>
            </w:r>
          </w:p>
        </w:tc>
        <w:tc>
          <w:tcPr>
            <w:tcW w:w="1701" w:type="dxa"/>
          </w:tcPr>
          <w:p w:rsidR="00F30827" w:rsidRPr="00256963" w:rsidRDefault="00731B73" w:rsidP="00F30827">
            <w:pPr>
              <w:pStyle w:val="TableParagraph"/>
              <w:spacing w:before="28"/>
              <w:ind w:left="107"/>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17</w:t>
            </w:r>
            <w:r w:rsidR="00256963">
              <w:rPr>
                <w:rFonts w:asciiTheme="minorEastAsia" w:eastAsiaTheme="minorEastAsia" w:hAnsiTheme="minorEastAsia" w:hint="eastAsia"/>
                <w:sz w:val="21"/>
                <w:szCs w:val="21"/>
                <w:lang w:eastAsia="zh-CN"/>
              </w:rPr>
              <w:t>000000</w:t>
            </w:r>
          </w:p>
        </w:tc>
        <w:tc>
          <w:tcPr>
            <w:tcW w:w="1842" w:type="dxa"/>
          </w:tcPr>
          <w:p w:rsidR="00F30827" w:rsidRPr="00256963" w:rsidRDefault="00731B73" w:rsidP="00F60300">
            <w:pPr>
              <w:pStyle w:val="TableParagraph"/>
              <w:spacing w:before="28"/>
              <w:ind w:left="107"/>
              <w:rPr>
                <w:rFonts w:asciiTheme="minorEastAsia" w:eastAsiaTheme="minorEastAsia" w:hAnsiTheme="minorEastAsia"/>
                <w:sz w:val="21"/>
                <w:szCs w:val="21"/>
              </w:rPr>
            </w:pPr>
            <w:r>
              <w:rPr>
                <w:rFonts w:asciiTheme="minorEastAsia" w:eastAsiaTheme="minorEastAsia" w:hAnsiTheme="minorEastAsia" w:hint="eastAsia"/>
                <w:color w:val="000000"/>
                <w:sz w:val="21"/>
                <w:szCs w:val="21"/>
                <w:lang w:val="en-US" w:eastAsia="zh-CN" w:bidi="ar-SA"/>
              </w:rPr>
              <w:t>85</w:t>
            </w:r>
            <w:r w:rsidR="00604403" w:rsidRPr="00256963">
              <w:rPr>
                <w:rFonts w:asciiTheme="minorEastAsia" w:eastAsiaTheme="minorEastAsia" w:hAnsiTheme="minorEastAsia" w:hint="eastAsia"/>
                <w:color w:val="000000"/>
                <w:sz w:val="21"/>
                <w:szCs w:val="21"/>
                <w:lang w:val="en-US" w:bidi="ar-SA"/>
              </w:rPr>
              <w:t>%</w:t>
            </w:r>
          </w:p>
        </w:tc>
      </w:tr>
      <w:tr w:rsidR="00F30827" w:rsidRPr="00306EBA" w:rsidTr="00C90A0F">
        <w:trPr>
          <w:trHeight w:val="314"/>
        </w:trPr>
        <w:tc>
          <w:tcPr>
            <w:tcW w:w="1418" w:type="dxa"/>
          </w:tcPr>
          <w:p w:rsidR="00F30827" w:rsidRPr="005938C6" w:rsidRDefault="00F30827" w:rsidP="00C90A0F">
            <w:pPr>
              <w:pStyle w:val="TableParagraph"/>
              <w:spacing w:before="15" w:line="279" w:lineRule="exact"/>
              <w:ind w:left="6"/>
              <w:rPr>
                <w:color w:val="000000" w:themeColor="text1"/>
              </w:rPr>
            </w:pPr>
            <w:r>
              <w:rPr>
                <w:rFonts w:hint="eastAsia"/>
                <w:color w:val="000000" w:themeColor="text1"/>
              </w:rPr>
              <w:t>2</w:t>
            </w:r>
          </w:p>
        </w:tc>
        <w:tc>
          <w:tcPr>
            <w:tcW w:w="2977" w:type="dxa"/>
          </w:tcPr>
          <w:p w:rsidR="00F30827" w:rsidRPr="00256963" w:rsidRDefault="00F30827" w:rsidP="00F30827">
            <w:pPr>
              <w:pStyle w:val="TableParagraph"/>
              <w:spacing w:before="22"/>
              <w:ind w:left="107"/>
              <w:rPr>
                <w:rFonts w:asciiTheme="minorEastAsia" w:eastAsiaTheme="minorEastAsia" w:hAnsiTheme="minorEastAsia"/>
                <w:color w:val="000000" w:themeColor="text1"/>
                <w:sz w:val="21"/>
                <w:szCs w:val="21"/>
              </w:rPr>
            </w:pPr>
            <w:r w:rsidRPr="00256963">
              <w:rPr>
                <w:rFonts w:asciiTheme="minorEastAsia" w:eastAsiaTheme="minorEastAsia" w:hAnsiTheme="minorEastAsia"/>
                <w:color w:val="000000" w:themeColor="text1"/>
                <w:sz w:val="21"/>
                <w:szCs w:val="21"/>
              </w:rPr>
              <w:t>活期存款</w:t>
            </w:r>
          </w:p>
        </w:tc>
        <w:tc>
          <w:tcPr>
            <w:tcW w:w="1701" w:type="dxa"/>
          </w:tcPr>
          <w:p w:rsidR="00F30827" w:rsidRPr="00256963" w:rsidRDefault="00731B73" w:rsidP="00F30827">
            <w:pPr>
              <w:pStyle w:val="TableParagraph"/>
              <w:spacing w:before="28"/>
              <w:ind w:left="107"/>
              <w:rPr>
                <w:rFonts w:asciiTheme="minorEastAsia" w:eastAsiaTheme="minorEastAsia" w:hAnsiTheme="minorEastAsia"/>
                <w:color w:val="000000" w:themeColor="text1"/>
                <w:sz w:val="21"/>
                <w:szCs w:val="21"/>
                <w:lang w:eastAsia="zh-CN"/>
              </w:rPr>
            </w:pPr>
            <w:r>
              <w:rPr>
                <w:rFonts w:asciiTheme="minorEastAsia" w:eastAsiaTheme="minorEastAsia" w:hAnsiTheme="minorEastAsia" w:hint="eastAsia"/>
                <w:color w:val="000000" w:themeColor="text1"/>
                <w:sz w:val="21"/>
                <w:szCs w:val="21"/>
                <w:lang w:eastAsia="zh-CN"/>
              </w:rPr>
              <w:t>3</w:t>
            </w:r>
            <w:r w:rsidR="00FE3A1A">
              <w:rPr>
                <w:rFonts w:asciiTheme="minorEastAsia" w:eastAsiaTheme="minorEastAsia" w:hAnsiTheme="minorEastAsia" w:hint="eastAsia"/>
                <w:color w:val="000000" w:themeColor="text1"/>
                <w:sz w:val="21"/>
                <w:szCs w:val="21"/>
                <w:lang w:eastAsia="zh-CN"/>
              </w:rPr>
              <w:t>00</w:t>
            </w:r>
            <w:r w:rsidR="00256963">
              <w:rPr>
                <w:rFonts w:asciiTheme="minorEastAsia" w:eastAsiaTheme="minorEastAsia" w:hAnsiTheme="minorEastAsia" w:hint="eastAsia"/>
                <w:color w:val="000000" w:themeColor="text1"/>
                <w:sz w:val="21"/>
                <w:szCs w:val="21"/>
                <w:lang w:eastAsia="zh-CN"/>
              </w:rPr>
              <w:t>0000</w:t>
            </w:r>
          </w:p>
        </w:tc>
        <w:tc>
          <w:tcPr>
            <w:tcW w:w="1842" w:type="dxa"/>
          </w:tcPr>
          <w:p w:rsidR="00F30827" w:rsidRPr="00256963" w:rsidRDefault="00731B73" w:rsidP="00F30827">
            <w:pPr>
              <w:pStyle w:val="TableParagraph"/>
              <w:spacing w:before="28"/>
              <w:ind w:left="107"/>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sz w:val="21"/>
                <w:szCs w:val="21"/>
                <w:lang w:val="en-US" w:eastAsia="zh-CN" w:bidi="ar-SA"/>
              </w:rPr>
              <w:t>15</w:t>
            </w:r>
            <w:r w:rsidR="00F60300" w:rsidRPr="00256963">
              <w:rPr>
                <w:rFonts w:asciiTheme="minorEastAsia" w:eastAsiaTheme="minorEastAsia" w:hAnsiTheme="minorEastAsia" w:hint="eastAsia"/>
                <w:color w:val="000000"/>
                <w:sz w:val="21"/>
                <w:szCs w:val="21"/>
                <w:lang w:val="en-US" w:bidi="ar-SA"/>
              </w:rPr>
              <w:t>%</w:t>
            </w:r>
          </w:p>
        </w:tc>
      </w:tr>
    </w:tbl>
    <w:p w:rsidR="00C90A0F" w:rsidRDefault="00C90A0F" w:rsidP="00C90A0F">
      <w:pPr>
        <w:ind w:right="640"/>
        <w:rPr>
          <w:rFonts w:asciiTheme="minorEastAsia" w:eastAsiaTheme="minorEastAsia" w:hAnsiTheme="minorEastAsia"/>
          <w:color w:val="000000" w:themeColor="text1"/>
          <w:sz w:val="28"/>
          <w:szCs w:val="28"/>
          <w:lang w:val="en-US"/>
        </w:rPr>
      </w:pPr>
    </w:p>
    <w:p w:rsidR="00C90A0F" w:rsidRPr="00C26D56" w:rsidRDefault="00C90A0F" w:rsidP="00C90A0F">
      <w:pPr>
        <w:ind w:right="640" w:firstLineChars="1350" w:firstLine="4320"/>
        <w:rPr>
          <w:sz w:val="32"/>
          <w:szCs w:val="32"/>
        </w:rPr>
      </w:pPr>
      <w:r w:rsidRPr="00C26D56">
        <w:rPr>
          <w:rFonts w:hint="eastAsia"/>
          <w:sz w:val="32"/>
          <w:szCs w:val="32"/>
        </w:rPr>
        <w:t>乌海银行股份有限公司</w:t>
      </w:r>
    </w:p>
    <w:p w:rsidR="00C90A0F" w:rsidRPr="00C90A0F" w:rsidRDefault="00C90A0F" w:rsidP="00C90A0F">
      <w:pPr>
        <w:ind w:right="640"/>
        <w:jc w:val="center"/>
        <w:rPr>
          <w:sz w:val="32"/>
          <w:szCs w:val="32"/>
        </w:rPr>
      </w:pPr>
      <w:r>
        <w:rPr>
          <w:rFonts w:hint="eastAsia"/>
          <w:sz w:val="32"/>
          <w:szCs w:val="32"/>
        </w:rPr>
        <w:t xml:space="preserve"> </w:t>
      </w:r>
      <w:r w:rsidR="000E6514">
        <w:rPr>
          <w:rFonts w:hint="eastAsia"/>
          <w:sz w:val="32"/>
          <w:szCs w:val="32"/>
        </w:rPr>
        <w:t xml:space="preserve">                          2021.7</w:t>
      </w:r>
      <w:r w:rsidR="00ED1B04">
        <w:rPr>
          <w:rFonts w:hint="eastAsia"/>
          <w:sz w:val="32"/>
          <w:szCs w:val="32"/>
        </w:rPr>
        <w:t>.6</w:t>
      </w:r>
    </w:p>
    <w:sectPr w:rsidR="00C90A0F" w:rsidRPr="00C90A0F" w:rsidSect="001A0A7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28C6" w:rsidRDefault="00DE28C6" w:rsidP="000B133E">
      <w:r>
        <w:separator/>
      </w:r>
    </w:p>
  </w:endnote>
  <w:endnote w:type="continuationSeparator" w:id="1">
    <w:p w:rsidR="00DE28C6" w:rsidRDefault="00DE28C6" w:rsidP="000B13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altName w:val="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Microsoft JhengHei">
    <w:altName w:val="Microsoft JhengHei"/>
    <w:panose1 w:val="020B0604030504040204"/>
    <w:charset w:val="88"/>
    <w:family w:val="swiss"/>
    <w:pitch w:val="variable"/>
    <w:sig w:usb0="00000087" w:usb1="288F4000" w:usb2="00000016" w:usb3="00000000" w:csb0="00100009"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28C6" w:rsidRDefault="00DE28C6" w:rsidP="000B133E">
      <w:r>
        <w:separator/>
      </w:r>
    </w:p>
  </w:footnote>
  <w:footnote w:type="continuationSeparator" w:id="1">
    <w:p w:rsidR="00DE28C6" w:rsidRDefault="00DE28C6" w:rsidP="000B13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D2AE2"/>
    <w:multiLevelType w:val="hybridMultilevel"/>
    <w:tmpl w:val="FE78CC5E"/>
    <w:lvl w:ilvl="0" w:tplc="1B62D2EA">
      <w:start w:val="2"/>
      <w:numFmt w:val="japaneseCounting"/>
      <w:lvlText w:val="%1、"/>
      <w:lvlJc w:val="left"/>
      <w:pPr>
        <w:ind w:left="720" w:hanging="72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17636C"/>
    <w:multiLevelType w:val="hybridMultilevel"/>
    <w:tmpl w:val="89761DB2"/>
    <w:lvl w:ilvl="0" w:tplc="7CB21E16">
      <w:start w:val="2"/>
      <w:numFmt w:val="japaneseCounting"/>
      <w:lvlText w:val="%1、"/>
      <w:lvlJc w:val="left"/>
      <w:pPr>
        <w:ind w:left="1720" w:hanging="720"/>
      </w:pPr>
      <w:rPr>
        <w:rFonts w:hint="default"/>
      </w:rPr>
    </w:lvl>
    <w:lvl w:ilvl="1" w:tplc="04090019" w:tentative="1">
      <w:start w:val="1"/>
      <w:numFmt w:val="lowerLetter"/>
      <w:lvlText w:val="%2)"/>
      <w:lvlJc w:val="left"/>
      <w:pPr>
        <w:ind w:left="1840" w:hanging="420"/>
      </w:pPr>
    </w:lvl>
    <w:lvl w:ilvl="2" w:tplc="0409001B" w:tentative="1">
      <w:start w:val="1"/>
      <w:numFmt w:val="lowerRoman"/>
      <w:lvlText w:val="%3."/>
      <w:lvlJc w:val="right"/>
      <w:pPr>
        <w:ind w:left="2260" w:hanging="420"/>
      </w:pPr>
    </w:lvl>
    <w:lvl w:ilvl="3" w:tplc="0409000F" w:tentative="1">
      <w:start w:val="1"/>
      <w:numFmt w:val="decimal"/>
      <w:lvlText w:val="%4."/>
      <w:lvlJc w:val="left"/>
      <w:pPr>
        <w:ind w:left="2680" w:hanging="420"/>
      </w:pPr>
    </w:lvl>
    <w:lvl w:ilvl="4" w:tplc="04090019" w:tentative="1">
      <w:start w:val="1"/>
      <w:numFmt w:val="lowerLetter"/>
      <w:lvlText w:val="%5)"/>
      <w:lvlJc w:val="left"/>
      <w:pPr>
        <w:ind w:left="3100" w:hanging="420"/>
      </w:pPr>
    </w:lvl>
    <w:lvl w:ilvl="5" w:tplc="0409001B" w:tentative="1">
      <w:start w:val="1"/>
      <w:numFmt w:val="lowerRoman"/>
      <w:lvlText w:val="%6."/>
      <w:lvlJc w:val="right"/>
      <w:pPr>
        <w:ind w:left="3520" w:hanging="420"/>
      </w:pPr>
    </w:lvl>
    <w:lvl w:ilvl="6" w:tplc="0409000F" w:tentative="1">
      <w:start w:val="1"/>
      <w:numFmt w:val="decimal"/>
      <w:lvlText w:val="%7."/>
      <w:lvlJc w:val="left"/>
      <w:pPr>
        <w:ind w:left="3940" w:hanging="420"/>
      </w:pPr>
    </w:lvl>
    <w:lvl w:ilvl="7" w:tplc="04090019" w:tentative="1">
      <w:start w:val="1"/>
      <w:numFmt w:val="lowerLetter"/>
      <w:lvlText w:val="%8)"/>
      <w:lvlJc w:val="left"/>
      <w:pPr>
        <w:ind w:left="4360" w:hanging="420"/>
      </w:pPr>
    </w:lvl>
    <w:lvl w:ilvl="8" w:tplc="0409001B" w:tentative="1">
      <w:start w:val="1"/>
      <w:numFmt w:val="lowerRoman"/>
      <w:lvlText w:val="%9."/>
      <w:lvlJc w:val="right"/>
      <w:pPr>
        <w:ind w:left="4780" w:hanging="420"/>
      </w:pPr>
    </w:lvl>
  </w:abstractNum>
  <w:abstractNum w:abstractNumId="2">
    <w:nsid w:val="55C4130E"/>
    <w:multiLevelType w:val="hybridMultilevel"/>
    <w:tmpl w:val="65FE259C"/>
    <w:lvl w:ilvl="0" w:tplc="B8BC987C">
      <w:start w:val="1"/>
      <w:numFmt w:val="decimal"/>
      <w:lvlText w:val="%1."/>
      <w:lvlJc w:val="left"/>
      <w:pPr>
        <w:ind w:left="1280" w:hanging="300"/>
      </w:pPr>
      <w:rPr>
        <w:rFonts w:hint="default"/>
      </w:rPr>
    </w:lvl>
    <w:lvl w:ilvl="1" w:tplc="04090019" w:tentative="1">
      <w:start w:val="1"/>
      <w:numFmt w:val="lowerLetter"/>
      <w:lvlText w:val="%2)"/>
      <w:lvlJc w:val="left"/>
      <w:pPr>
        <w:ind w:left="1820" w:hanging="420"/>
      </w:p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abstractNum w:abstractNumId="3">
    <w:nsid w:val="61596C69"/>
    <w:multiLevelType w:val="hybridMultilevel"/>
    <w:tmpl w:val="7A2418EC"/>
    <w:lvl w:ilvl="0" w:tplc="D33C2C58">
      <w:start w:val="1"/>
      <w:numFmt w:val="decimal"/>
      <w:lvlText w:val="%1、"/>
      <w:lvlJc w:val="left"/>
      <w:pPr>
        <w:ind w:left="1185" w:hanging="465"/>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nsid w:val="79602114"/>
    <w:multiLevelType w:val="hybridMultilevel"/>
    <w:tmpl w:val="6108EA92"/>
    <w:lvl w:ilvl="0" w:tplc="68F86B7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40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B133E"/>
    <w:rsid w:val="00001AF6"/>
    <w:rsid w:val="00002933"/>
    <w:rsid w:val="00037DF1"/>
    <w:rsid w:val="000A6BBA"/>
    <w:rsid w:val="000B133E"/>
    <w:rsid w:val="000C381F"/>
    <w:rsid w:val="000C6D7E"/>
    <w:rsid w:val="000E6514"/>
    <w:rsid w:val="00102222"/>
    <w:rsid w:val="00120D53"/>
    <w:rsid w:val="00120E10"/>
    <w:rsid w:val="0013476A"/>
    <w:rsid w:val="001A0A7B"/>
    <w:rsid w:val="001F3925"/>
    <w:rsid w:val="002258FC"/>
    <w:rsid w:val="00256963"/>
    <w:rsid w:val="00264A5F"/>
    <w:rsid w:val="0029003A"/>
    <w:rsid w:val="002D42B1"/>
    <w:rsid w:val="002F108B"/>
    <w:rsid w:val="00310492"/>
    <w:rsid w:val="00331CE2"/>
    <w:rsid w:val="003400D8"/>
    <w:rsid w:val="00362548"/>
    <w:rsid w:val="00371E38"/>
    <w:rsid w:val="003925EA"/>
    <w:rsid w:val="003C7A7C"/>
    <w:rsid w:val="00425A9B"/>
    <w:rsid w:val="00441819"/>
    <w:rsid w:val="00483E5A"/>
    <w:rsid w:val="0048443D"/>
    <w:rsid w:val="004854C2"/>
    <w:rsid w:val="004856B7"/>
    <w:rsid w:val="004E3DF2"/>
    <w:rsid w:val="0050015F"/>
    <w:rsid w:val="005177EC"/>
    <w:rsid w:val="005471DE"/>
    <w:rsid w:val="00554866"/>
    <w:rsid w:val="005931A1"/>
    <w:rsid w:val="005F683C"/>
    <w:rsid w:val="00604403"/>
    <w:rsid w:val="00607E50"/>
    <w:rsid w:val="006310E4"/>
    <w:rsid w:val="00653F17"/>
    <w:rsid w:val="00673A11"/>
    <w:rsid w:val="006831C4"/>
    <w:rsid w:val="006935A2"/>
    <w:rsid w:val="00731B73"/>
    <w:rsid w:val="00780F7B"/>
    <w:rsid w:val="0078695B"/>
    <w:rsid w:val="00790E37"/>
    <w:rsid w:val="00812D23"/>
    <w:rsid w:val="00813300"/>
    <w:rsid w:val="00830A08"/>
    <w:rsid w:val="00837414"/>
    <w:rsid w:val="00873F04"/>
    <w:rsid w:val="00894E5A"/>
    <w:rsid w:val="008A09CE"/>
    <w:rsid w:val="008D49B3"/>
    <w:rsid w:val="008D58EA"/>
    <w:rsid w:val="008E2EE0"/>
    <w:rsid w:val="0093754A"/>
    <w:rsid w:val="00955F04"/>
    <w:rsid w:val="00987067"/>
    <w:rsid w:val="009A29CA"/>
    <w:rsid w:val="009B7B85"/>
    <w:rsid w:val="00A41165"/>
    <w:rsid w:val="00A62417"/>
    <w:rsid w:val="00AE7D35"/>
    <w:rsid w:val="00B003F3"/>
    <w:rsid w:val="00B03613"/>
    <w:rsid w:val="00B06EA0"/>
    <w:rsid w:val="00B108B4"/>
    <w:rsid w:val="00B1274E"/>
    <w:rsid w:val="00B43A4E"/>
    <w:rsid w:val="00B83DFB"/>
    <w:rsid w:val="00B907A8"/>
    <w:rsid w:val="00B95B89"/>
    <w:rsid w:val="00BF48E2"/>
    <w:rsid w:val="00C740B4"/>
    <w:rsid w:val="00C90A0F"/>
    <w:rsid w:val="00CB24A9"/>
    <w:rsid w:val="00CB3582"/>
    <w:rsid w:val="00CE3C85"/>
    <w:rsid w:val="00D10B6F"/>
    <w:rsid w:val="00D12FAC"/>
    <w:rsid w:val="00D30694"/>
    <w:rsid w:val="00D409FD"/>
    <w:rsid w:val="00D5569E"/>
    <w:rsid w:val="00DE28C6"/>
    <w:rsid w:val="00E27944"/>
    <w:rsid w:val="00E51586"/>
    <w:rsid w:val="00E750D5"/>
    <w:rsid w:val="00EA47C2"/>
    <w:rsid w:val="00EB04F3"/>
    <w:rsid w:val="00EB337B"/>
    <w:rsid w:val="00ED1B04"/>
    <w:rsid w:val="00EE5B1C"/>
    <w:rsid w:val="00F24E24"/>
    <w:rsid w:val="00F30827"/>
    <w:rsid w:val="00F42637"/>
    <w:rsid w:val="00F474BA"/>
    <w:rsid w:val="00F5221F"/>
    <w:rsid w:val="00F60300"/>
    <w:rsid w:val="00FB0FFD"/>
    <w:rsid w:val="00FC64F0"/>
    <w:rsid w:val="00FE3A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B133E"/>
    <w:pPr>
      <w:widowControl w:val="0"/>
      <w:autoSpaceDE w:val="0"/>
      <w:autoSpaceDN w:val="0"/>
    </w:pPr>
    <w:rPr>
      <w:rFonts w:ascii="仿宋" w:eastAsia="仿宋" w:hAnsi="仿宋" w:cs="仿宋"/>
      <w:kern w:val="0"/>
      <w:sz w:val="22"/>
      <w:lang w:val="zh-CN" w:bidi="zh-CN"/>
    </w:rPr>
  </w:style>
  <w:style w:type="paragraph" w:styleId="1">
    <w:name w:val="heading 1"/>
    <w:basedOn w:val="a"/>
    <w:next w:val="a"/>
    <w:link w:val="1Char"/>
    <w:uiPriority w:val="9"/>
    <w:qFormat/>
    <w:rsid w:val="000B133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B13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B133E"/>
    <w:rPr>
      <w:sz w:val="18"/>
      <w:szCs w:val="18"/>
    </w:rPr>
  </w:style>
  <w:style w:type="paragraph" w:styleId="a4">
    <w:name w:val="footer"/>
    <w:basedOn w:val="a"/>
    <w:link w:val="Char0"/>
    <w:uiPriority w:val="99"/>
    <w:semiHidden/>
    <w:unhideWhenUsed/>
    <w:rsid w:val="000B133E"/>
    <w:pPr>
      <w:tabs>
        <w:tab w:val="center" w:pos="4153"/>
        <w:tab w:val="right" w:pos="8306"/>
      </w:tabs>
      <w:snapToGrid w:val="0"/>
    </w:pPr>
    <w:rPr>
      <w:sz w:val="18"/>
      <w:szCs w:val="18"/>
    </w:rPr>
  </w:style>
  <w:style w:type="character" w:customStyle="1" w:styleId="Char0">
    <w:name w:val="页脚 Char"/>
    <w:basedOn w:val="a0"/>
    <w:link w:val="a4"/>
    <w:uiPriority w:val="99"/>
    <w:semiHidden/>
    <w:rsid w:val="000B133E"/>
    <w:rPr>
      <w:sz w:val="18"/>
      <w:szCs w:val="18"/>
    </w:rPr>
  </w:style>
  <w:style w:type="character" w:customStyle="1" w:styleId="1Char">
    <w:name w:val="标题 1 Char"/>
    <w:basedOn w:val="a0"/>
    <w:link w:val="1"/>
    <w:uiPriority w:val="9"/>
    <w:rsid w:val="000B133E"/>
    <w:rPr>
      <w:rFonts w:ascii="仿宋" w:eastAsia="仿宋" w:hAnsi="仿宋" w:cs="仿宋"/>
      <w:b/>
      <w:bCs/>
      <w:kern w:val="44"/>
      <w:sz w:val="44"/>
      <w:szCs w:val="44"/>
      <w:lang w:val="zh-CN" w:bidi="zh-CN"/>
    </w:rPr>
  </w:style>
  <w:style w:type="paragraph" w:styleId="TOC">
    <w:name w:val="TOC Heading"/>
    <w:basedOn w:val="1"/>
    <w:next w:val="a"/>
    <w:uiPriority w:val="39"/>
    <w:semiHidden/>
    <w:unhideWhenUsed/>
    <w:qFormat/>
    <w:rsid w:val="000B133E"/>
    <w:pPr>
      <w:widowControl/>
      <w:autoSpaceDE/>
      <w:autoSpaceDN/>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bidi="ar-SA"/>
    </w:rPr>
  </w:style>
  <w:style w:type="paragraph" w:styleId="2">
    <w:name w:val="toc 2"/>
    <w:basedOn w:val="a"/>
    <w:next w:val="a"/>
    <w:autoRedefine/>
    <w:uiPriority w:val="39"/>
    <w:semiHidden/>
    <w:unhideWhenUsed/>
    <w:qFormat/>
    <w:rsid w:val="000B133E"/>
    <w:pPr>
      <w:widowControl/>
      <w:autoSpaceDE/>
      <w:autoSpaceDN/>
      <w:spacing w:after="100" w:line="276" w:lineRule="auto"/>
      <w:ind w:left="220"/>
    </w:pPr>
    <w:rPr>
      <w:rFonts w:asciiTheme="minorHAnsi" w:eastAsiaTheme="minorEastAsia" w:hAnsiTheme="minorHAnsi" w:cstheme="minorBidi"/>
      <w:lang w:val="en-US" w:bidi="ar-SA"/>
    </w:rPr>
  </w:style>
  <w:style w:type="paragraph" w:styleId="10">
    <w:name w:val="toc 1"/>
    <w:basedOn w:val="a"/>
    <w:next w:val="a"/>
    <w:autoRedefine/>
    <w:uiPriority w:val="39"/>
    <w:semiHidden/>
    <w:unhideWhenUsed/>
    <w:qFormat/>
    <w:rsid w:val="000B133E"/>
    <w:pPr>
      <w:widowControl/>
      <w:autoSpaceDE/>
      <w:autoSpaceDN/>
      <w:spacing w:after="100" w:line="276" w:lineRule="auto"/>
    </w:pPr>
    <w:rPr>
      <w:rFonts w:asciiTheme="minorHAnsi" w:eastAsiaTheme="minorEastAsia" w:hAnsiTheme="minorHAnsi" w:cstheme="minorBidi"/>
      <w:lang w:val="en-US" w:bidi="ar-SA"/>
    </w:rPr>
  </w:style>
  <w:style w:type="paragraph" w:styleId="a5">
    <w:name w:val="List Paragraph"/>
    <w:basedOn w:val="a"/>
    <w:uiPriority w:val="1"/>
    <w:qFormat/>
    <w:rsid w:val="000B133E"/>
    <w:pPr>
      <w:spacing w:before="2"/>
      <w:ind w:left="2442" w:hanging="802"/>
    </w:pPr>
    <w:rPr>
      <w:rFonts w:ascii="宋体" w:eastAsia="宋体" w:hAnsi="宋体" w:cs="宋体"/>
    </w:rPr>
  </w:style>
  <w:style w:type="paragraph" w:styleId="a6">
    <w:name w:val="Balloon Text"/>
    <w:basedOn w:val="a"/>
    <w:link w:val="Char1"/>
    <w:uiPriority w:val="99"/>
    <w:semiHidden/>
    <w:unhideWhenUsed/>
    <w:rsid w:val="00EB04F3"/>
    <w:rPr>
      <w:sz w:val="18"/>
      <w:szCs w:val="18"/>
    </w:rPr>
  </w:style>
  <w:style w:type="character" w:customStyle="1" w:styleId="Char1">
    <w:name w:val="批注框文本 Char"/>
    <w:basedOn w:val="a0"/>
    <w:link w:val="a6"/>
    <w:uiPriority w:val="99"/>
    <w:semiHidden/>
    <w:rsid w:val="00EB04F3"/>
    <w:rPr>
      <w:rFonts w:ascii="仿宋" w:eastAsia="仿宋" w:hAnsi="仿宋" w:cs="仿宋"/>
      <w:kern w:val="0"/>
      <w:sz w:val="18"/>
      <w:szCs w:val="18"/>
      <w:lang w:val="zh-CN" w:bidi="zh-CN"/>
    </w:rPr>
  </w:style>
  <w:style w:type="paragraph" w:styleId="a7">
    <w:name w:val="Body Text"/>
    <w:basedOn w:val="a"/>
    <w:link w:val="Char2"/>
    <w:uiPriority w:val="1"/>
    <w:qFormat/>
    <w:rsid w:val="009A29CA"/>
    <w:pPr>
      <w:ind w:left="1000"/>
    </w:pPr>
    <w:rPr>
      <w:sz w:val="32"/>
      <w:szCs w:val="32"/>
    </w:rPr>
  </w:style>
  <w:style w:type="character" w:customStyle="1" w:styleId="Char2">
    <w:name w:val="正文文本 Char"/>
    <w:basedOn w:val="a0"/>
    <w:link w:val="a7"/>
    <w:uiPriority w:val="1"/>
    <w:rsid w:val="009A29CA"/>
    <w:rPr>
      <w:rFonts w:ascii="仿宋" w:eastAsia="仿宋" w:hAnsi="仿宋" w:cs="仿宋"/>
      <w:kern w:val="0"/>
      <w:sz w:val="32"/>
      <w:szCs w:val="32"/>
      <w:lang w:val="zh-CN" w:bidi="zh-CN"/>
    </w:rPr>
  </w:style>
  <w:style w:type="table" w:customStyle="1" w:styleId="TableNormal">
    <w:name w:val="Table Normal"/>
    <w:uiPriority w:val="2"/>
    <w:semiHidden/>
    <w:unhideWhenUsed/>
    <w:qFormat/>
    <w:rsid w:val="00B003F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003F3"/>
    <w:pPr>
      <w:ind w:left="166"/>
      <w:jc w:val="center"/>
    </w:pPr>
    <w:rPr>
      <w:rFonts w:ascii="宋体" w:eastAsia="宋体" w:hAnsi="宋体" w:cs="宋体"/>
    </w:rPr>
  </w:style>
</w:styles>
</file>

<file path=word/webSettings.xml><?xml version="1.0" encoding="utf-8"?>
<w:webSettings xmlns:r="http://schemas.openxmlformats.org/officeDocument/2006/relationships" xmlns:w="http://schemas.openxmlformats.org/wordprocessingml/2006/main">
  <w:divs>
    <w:div w:id="229661385">
      <w:bodyDiv w:val="1"/>
      <w:marLeft w:val="0"/>
      <w:marRight w:val="0"/>
      <w:marTop w:val="0"/>
      <w:marBottom w:val="0"/>
      <w:divBdr>
        <w:top w:val="none" w:sz="0" w:space="0" w:color="auto"/>
        <w:left w:val="none" w:sz="0" w:space="0" w:color="auto"/>
        <w:bottom w:val="none" w:sz="0" w:space="0" w:color="auto"/>
        <w:right w:val="none" w:sz="0" w:space="0" w:color="auto"/>
      </w:divBdr>
    </w:div>
    <w:div w:id="658651845">
      <w:bodyDiv w:val="1"/>
      <w:marLeft w:val="0"/>
      <w:marRight w:val="0"/>
      <w:marTop w:val="0"/>
      <w:marBottom w:val="0"/>
      <w:divBdr>
        <w:top w:val="none" w:sz="0" w:space="0" w:color="auto"/>
        <w:left w:val="none" w:sz="0" w:space="0" w:color="auto"/>
        <w:bottom w:val="none" w:sz="0" w:space="0" w:color="auto"/>
        <w:right w:val="none" w:sz="0" w:space="0" w:color="auto"/>
      </w:divBdr>
    </w:div>
    <w:div w:id="75139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inawealth.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314</Words>
  <Characters>1796</Characters>
  <Application>Microsoft Office Word</Application>
  <DocSecurity>0</DocSecurity>
  <Lines>14</Lines>
  <Paragraphs>4</Paragraphs>
  <ScaleCrop>false</ScaleCrop>
  <Company>china</Company>
  <LinksUpToDate>false</LinksUpToDate>
  <CharactersWithSpaces>2106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2</cp:revision>
  <dcterms:created xsi:type="dcterms:W3CDTF">2021-08-04T12:39:00Z</dcterms:created>
  <dcterms:modified xsi:type="dcterms:W3CDTF">2021-08-04T12:39:00Z</dcterms:modified>
</cp:coreProperties>
</file>