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33E" w:rsidRPr="00C26D56" w:rsidRDefault="000B133E" w:rsidP="000B133E">
      <w:pPr>
        <w:jc w:val="center"/>
        <w:rPr>
          <w:b/>
          <w:sz w:val="36"/>
          <w:szCs w:val="36"/>
        </w:rPr>
      </w:pPr>
      <w:r w:rsidRPr="00C26D56">
        <w:rPr>
          <w:rFonts w:hint="eastAsia"/>
          <w:b/>
          <w:sz w:val="36"/>
          <w:szCs w:val="36"/>
        </w:rPr>
        <w:t>乌海银行“乌银利鑫系列</w:t>
      </w:r>
      <w:r w:rsidR="000C381F">
        <w:rPr>
          <w:rFonts w:hint="eastAsia"/>
          <w:b/>
          <w:sz w:val="36"/>
          <w:szCs w:val="36"/>
        </w:rPr>
        <w:t>2021</w:t>
      </w:r>
      <w:r w:rsidRPr="00C26D56">
        <w:rPr>
          <w:rFonts w:hint="eastAsia"/>
          <w:b/>
          <w:sz w:val="36"/>
          <w:szCs w:val="36"/>
        </w:rPr>
        <w:t>年</w:t>
      </w:r>
      <w:r w:rsidR="008D49B3">
        <w:rPr>
          <w:rFonts w:hint="eastAsia"/>
          <w:b/>
          <w:sz w:val="36"/>
          <w:szCs w:val="36"/>
        </w:rPr>
        <w:t>第</w:t>
      </w:r>
      <w:r w:rsidR="00ED7A6B">
        <w:rPr>
          <w:rFonts w:hint="eastAsia"/>
          <w:b/>
          <w:sz w:val="36"/>
          <w:szCs w:val="36"/>
        </w:rPr>
        <w:t>82</w:t>
      </w:r>
      <w:r w:rsidR="008D49B3">
        <w:rPr>
          <w:rFonts w:hint="eastAsia"/>
          <w:b/>
          <w:sz w:val="36"/>
          <w:szCs w:val="36"/>
        </w:rPr>
        <w:t>期</w:t>
      </w:r>
      <w:r w:rsidRPr="00C26D56">
        <w:rPr>
          <w:rFonts w:hint="eastAsia"/>
          <w:b/>
          <w:sz w:val="36"/>
          <w:szCs w:val="36"/>
        </w:rPr>
        <w:t>”封闭式净值型理财产品</w:t>
      </w:r>
      <w:r w:rsidR="00812D23">
        <w:rPr>
          <w:rFonts w:hint="eastAsia"/>
          <w:b/>
          <w:sz w:val="36"/>
          <w:szCs w:val="36"/>
        </w:rPr>
        <w:t>2021</w:t>
      </w:r>
      <w:r w:rsidRPr="00C26D56">
        <w:rPr>
          <w:rFonts w:hint="eastAsia"/>
          <w:b/>
          <w:sz w:val="36"/>
          <w:szCs w:val="36"/>
        </w:rPr>
        <w:t>年第</w:t>
      </w:r>
      <w:r w:rsidR="00BC25A8" w:rsidRPr="00CE56ED">
        <w:rPr>
          <w:rFonts w:hint="eastAsia"/>
          <w:b/>
          <w:color w:val="000000" w:themeColor="text1"/>
          <w:sz w:val="36"/>
          <w:szCs w:val="36"/>
        </w:rPr>
        <w:t>四</w:t>
      </w:r>
      <w:r>
        <w:rPr>
          <w:rFonts w:hint="eastAsia"/>
          <w:b/>
          <w:sz w:val="36"/>
          <w:szCs w:val="36"/>
        </w:rPr>
        <w:t>季度</w:t>
      </w:r>
      <w:r w:rsidRPr="00C26D56">
        <w:rPr>
          <w:rFonts w:hint="eastAsia"/>
          <w:b/>
          <w:sz w:val="36"/>
          <w:szCs w:val="36"/>
        </w:rPr>
        <w:t>报告</w:t>
      </w:r>
    </w:p>
    <w:p w:rsidR="000B133E" w:rsidRDefault="000B133E" w:rsidP="000B133E">
      <w:pPr>
        <w:pStyle w:val="TOC"/>
      </w:pPr>
    </w:p>
    <w:p w:rsidR="000B133E" w:rsidRPr="003B45F3" w:rsidRDefault="000B133E" w:rsidP="000B133E">
      <w:pPr>
        <w:pStyle w:val="10"/>
        <w:adjustRightInd w:val="0"/>
        <w:snapToGrid w:val="0"/>
        <w:spacing w:line="360" w:lineRule="auto"/>
        <w:rPr>
          <w:rFonts w:ascii="仿宋" w:eastAsia="仿宋" w:hAnsi="仿宋"/>
          <w:b/>
          <w:sz w:val="32"/>
          <w:szCs w:val="32"/>
          <w:lang w:val="zh-CN"/>
        </w:rPr>
      </w:pPr>
      <w:r w:rsidRPr="003B45F3">
        <w:rPr>
          <w:rFonts w:ascii="仿宋" w:eastAsia="仿宋" w:hAnsi="仿宋" w:hint="eastAsia"/>
          <w:b/>
          <w:sz w:val="32"/>
          <w:szCs w:val="32"/>
        </w:rPr>
        <w:t>一.目录</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sidRPr="003B45F3">
        <w:rPr>
          <w:rFonts w:ascii="仿宋" w:eastAsia="仿宋" w:hAnsi="仿宋"/>
          <w:b/>
          <w:sz w:val="32"/>
          <w:szCs w:val="32"/>
          <w:lang w:val="zh-CN"/>
        </w:rPr>
        <w:t>1</w:t>
      </w:r>
    </w:p>
    <w:p w:rsidR="000B133E" w:rsidRPr="003B45F3" w:rsidRDefault="000B133E" w:rsidP="000B133E">
      <w:pPr>
        <w:pStyle w:val="10"/>
        <w:adjustRightInd w:val="0"/>
        <w:snapToGrid w:val="0"/>
        <w:spacing w:line="360" w:lineRule="auto"/>
        <w:rPr>
          <w:rFonts w:ascii="仿宋" w:eastAsia="仿宋" w:hAnsi="仿宋"/>
          <w:b/>
          <w:sz w:val="32"/>
          <w:szCs w:val="32"/>
        </w:rPr>
      </w:pPr>
      <w:r w:rsidRPr="003B45F3">
        <w:rPr>
          <w:rFonts w:ascii="仿宋" w:eastAsia="仿宋" w:hAnsi="仿宋" w:hint="eastAsia"/>
          <w:b/>
          <w:sz w:val="32"/>
          <w:szCs w:val="32"/>
        </w:rPr>
        <w:t>二.重要提示</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Pr>
          <w:rFonts w:ascii="仿宋" w:eastAsia="仿宋" w:hAnsi="仿宋" w:hint="eastAsia"/>
          <w:b/>
          <w:sz w:val="32"/>
          <w:szCs w:val="32"/>
          <w:lang w:val="zh-CN"/>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三</w:t>
      </w:r>
      <w:r>
        <w:rPr>
          <w:rFonts w:hint="eastAsia"/>
          <w:b/>
          <w:sz w:val="32"/>
          <w:szCs w:val="32"/>
        </w:rPr>
        <w:t>.</w:t>
      </w:r>
      <w:r w:rsidRPr="003B45F3">
        <w:rPr>
          <w:rFonts w:hint="eastAsia"/>
          <w:b/>
          <w:sz w:val="32"/>
          <w:szCs w:val="32"/>
        </w:rPr>
        <w:t>产品基本信息</w:t>
      </w:r>
      <w:r w:rsidRPr="003B45F3">
        <w:rPr>
          <w:b/>
          <w:sz w:val="32"/>
          <w:szCs w:val="32"/>
        </w:rPr>
        <w:ptab w:relativeTo="margin" w:alignment="right" w:leader="dot"/>
      </w:r>
      <w:r w:rsidR="00C90A0F">
        <w:rPr>
          <w:rFonts w:hint="eastAsia"/>
          <w:b/>
          <w:sz w:val="32"/>
          <w:szCs w:val="32"/>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四</w:t>
      </w:r>
      <w:r>
        <w:rPr>
          <w:rFonts w:hint="eastAsia"/>
          <w:b/>
          <w:sz w:val="32"/>
          <w:szCs w:val="32"/>
        </w:rPr>
        <w:t>.</w:t>
      </w:r>
      <w:r w:rsidRPr="003B45F3">
        <w:rPr>
          <w:rFonts w:hint="eastAsia"/>
          <w:b/>
          <w:sz w:val="32"/>
          <w:szCs w:val="32"/>
        </w:rPr>
        <w:t>产品收益表现</w:t>
      </w:r>
      <w:r w:rsidRPr="003B45F3">
        <w:rPr>
          <w:b/>
          <w:sz w:val="32"/>
          <w:szCs w:val="32"/>
        </w:rPr>
        <w:ptab w:relativeTo="margin" w:alignment="right" w:leader="dot"/>
      </w:r>
      <w:r w:rsidR="00C90A0F">
        <w:rPr>
          <w:rFonts w:hint="eastAsia"/>
          <w:b/>
          <w:sz w:val="32"/>
          <w:szCs w:val="32"/>
        </w:rPr>
        <w:t>3</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五</w:t>
      </w:r>
      <w:r>
        <w:rPr>
          <w:rFonts w:hint="eastAsia"/>
          <w:b/>
          <w:sz w:val="32"/>
          <w:szCs w:val="32"/>
        </w:rPr>
        <w:t>.</w:t>
      </w:r>
      <w:r w:rsidRPr="003B45F3">
        <w:rPr>
          <w:rFonts w:hint="eastAsia"/>
          <w:b/>
          <w:sz w:val="32"/>
          <w:szCs w:val="32"/>
        </w:rPr>
        <w:t>报告期内产品的投资策略和运作分析</w:t>
      </w:r>
      <w:r w:rsidRPr="003B45F3">
        <w:rPr>
          <w:b/>
          <w:sz w:val="32"/>
          <w:szCs w:val="32"/>
        </w:rPr>
        <w:ptab w:relativeTo="margin" w:alignment="right" w:leader="dot"/>
      </w:r>
      <w:r w:rsidR="00C90A0F">
        <w:rPr>
          <w:rFonts w:hint="eastAsia"/>
          <w:b/>
          <w:sz w:val="32"/>
          <w:szCs w:val="32"/>
        </w:rPr>
        <w:t>3</w:t>
      </w:r>
    </w:p>
    <w:p w:rsidR="000B133E" w:rsidRPr="0037500B" w:rsidRDefault="000B133E" w:rsidP="000B133E">
      <w:pPr>
        <w:adjustRightInd w:val="0"/>
        <w:snapToGrid w:val="0"/>
        <w:spacing w:line="360" w:lineRule="auto"/>
        <w:rPr>
          <w:sz w:val="36"/>
          <w:szCs w:val="36"/>
        </w:rPr>
      </w:pPr>
      <w:r w:rsidRPr="003B45F3">
        <w:rPr>
          <w:rFonts w:hint="eastAsia"/>
          <w:b/>
          <w:sz w:val="32"/>
          <w:szCs w:val="32"/>
        </w:rPr>
        <w:t>六</w:t>
      </w:r>
      <w:r>
        <w:rPr>
          <w:rFonts w:hint="eastAsia"/>
          <w:b/>
          <w:sz w:val="32"/>
          <w:szCs w:val="32"/>
        </w:rPr>
        <w:t>.</w:t>
      </w:r>
      <w:r w:rsidRPr="003B45F3">
        <w:rPr>
          <w:rFonts w:hint="eastAsia"/>
          <w:b/>
          <w:sz w:val="32"/>
          <w:szCs w:val="32"/>
        </w:rPr>
        <w:t>投资组合情况</w:t>
      </w:r>
      <w:r w:rsidRPr="003B45F3">
        <w:rPr>
          <w:b/>
          <w:sz w:val="32"/>
          <w:szCs w:val="32"/>
        </w:rPr>
        <w:ptab w:relativeTo="margin" w:alignment="right" w:leader="dot"/>
      </w:r>
      <w:r w:rsidR="00C90A0F">
        <w:rPr>
          <w:rFonts w:hint="eastAsia"/>
          <w:b/>
          <w:sz w:val="32"/>
          <w:szCs w:val="32"/>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1.</w:t>
      </w:r>
      <w:r w:rsidRPr="003B45F3">
        <w:rPr>
          <w:rFonts w:hint="eastAsia"/>
          <w:sz w:val="30"/>
          <w:szCs w:val="30"/>
        </w:rPr>
        <w:t>报告期末产品资产组合情况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2.</w:t>
      </w:r>
      <w:r w:rsidRPr="003B45F3">
        <w:rPr>
          <w:rFonts w:hint="eastAsia"/>
          <w:sz w:val="30"/>
          <w:szCs w:val="30"/>
        </w:rPr>
        <w:t>报告期末杠杆融资情况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3.</w:t>
      </w:r>
      <w:r w:rsidRPr="003B45F3">
        <w:rPr>
          <w:rFonts w:hint="eastAsia"/>
          <w:sz w:val="30"/>
          <w:szCs w:val="30"/>
        </w:rPr>
        <w:t>报告期末资产持仓前十基本信息</w:t>
      </w:r>
      <w:r w:rsidRPr="003B45F3">
        <w:rPr>
          <w:sz w:val="30"/>
          <w:szCs w:val="30"/>
        </w:rPr>
        <w:ptab w:relativeTo="margin" w:alignment="right" w:leader="dot"/>
      </w:r>
      <w:r w:rsidR="00C90A0F">
        <w:rPr>
          <w:rFonts w:hint="eastAsia"/>
          <w:sz w:val="30"/>
          <w:szCs w:val="30"/>
          <w:lang w:val="zh-CN"/>
        </w:rPr>
        <w:t>4</w:t>
      </w:r>
    </w:p>
    <w:p w:rsidR="001A0A7B" w:rsidRDefault="001A0A7B">
      <w:pPr>
        <w:rPr>
          <w:lang w:val="en-US"/>
        </w:rPr>
      </w:pPr>
    </w:p>
    <w:p w:rsidR="000B133E" w:rsidRPr="00C90A0F"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重要提示：</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1.温馨提醒：理财非存款，产品有风险，投资需谨慎。</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2.</w:t>
      </w:r>
      <w:r w:rsidRPr="000B133E">
        <w:rPr>
          <w:rFonts w:asciiTheme="minorEastAsia" w:eastAsiaTheme="minorEastAsia" w:hAnsiTheme="minorEastAsia"/>
          <w:spacing w:val="-9"/>
          <w:sz w:val="28"/>
          <w:szCs w:val="28"/>
        </w:rPr>
        <w:t>理财信息可供参考，详情请咨询理财销售人员，</w:t>
      </w:r>
      <w:r w:rsidRPr="000B133E">
        <w:rPr>
          <w:rFonts w:asciiTheme="minorEastAsia" w:eastAsiaTheme="minorEastAsia" w:hAnsiTheme="minorEastAsia" w:hint="eastAsia"/>
          <w:spacing w:val="-9"/>
          <w:sz w:val="28"/>
          <w:szCs w:val="28"/>
        </w:rPr>
        <w:t>或在“中国理财网（</w:t>
      </w:r>
      <w:hyperlink r:id="rId7">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w:t>
        </w:r>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h</w:t>
        </w:r>
        <w:r w:rsidRPr="000B133E">
          <w:rPr>
            <w:rFonts w:asciiTheme="minorEastAsia" w:eastAsiaTheme="minorEastAsia" w:hAnsiTheme="minorEastAsia"/>
            <w:spacing w:val="-2"/>
            <w:sz w:val="28"/>
            <w:szCs w:val="28"/>
          </w:rPr>
          <w:t>i</w:t>
        </w:r>
        <w:r w:rsidRPr="000B133E">
          <w:rPr>
            <w:rFonts w:asciiTheme="minorEastAsia" w:eastAsiaTheme="minorEastAsia" w:hAnsiTheme="minorEastAsia"/>
            <w:sz w:val="28"/>
            <w:szCs w:val="28"/>
          </w:rPr>
          <w:t>n</w:t>
        </w:r>
        <w:r w:rsidRPr="000B133E">
          <w:rPr>
            <w:rFonts w:asciiTheme="minorEastAsia" w:eastAsiaTheme="minorEastAsia" w:hAnsiTheme="minorEastAsia"/>
            <w:spacing w:val="-2"/>
            <w:sz w:val="28"/>
            <w:szCs w:val="28"/>
          </w:rPr>
          <w:t>aw</w:t>
        </w:r>
        <w:r w:rsidRPr="000B133E">
          <w:rPr>
            <w:rFonts w:asciiTheme="minorEastAsia" w:eastAsiaTheme="minorEastAsia" w:hAnsiTheme="minorEastAsia"/>
            <w:sz w:val="28"/>
            <w:szCs w:val="28"/>
          </w:rPr>
          <w:t>ea</w:t>
        </w:r>
        <w:r w:rsidRPr="000B133E">
          <w:rPr>
            <w:rFonts w:asciiTheme="minorEastAsia" w:eastAsiaTheme="minorEastAsia" w:hAnsiTheme="minorEastAsia"/>
            <w:spacing w:val="-2"/>
            <w:sz w:val="28"/>
            <w:szCs w:val="28"/>
          </w:rPr>
          <w:t>l</w:t>
        </w:r>
        <w:r w:rsidRPr="000B133E">
          <w:rPr>
            <w:rFonts w:asciiTheme="minorEastAsia" w:eastAsiaTheme="minorEastAsia" w:hAnsiTheme="minorEastAsia"/>
            <w:sz w:val="28"/>
            <w:szCs w:val="28"/>
          </w:rPr>
          <w:t>t</w:t>
        </w:r>
        <w:r w:rsidRPr="000B133E">
          <w:rPr>
            <w:rFonts w:asciiTheme="minorEastAsia" w:eastAsiaTheme="minorEastAsia" w:hAnsiTheme="minorEastAsia"/>
            <w:spacing w:val="-2"/>
            <w:sz w:val="28"/>
            <w:szCs w:val="28"/>
          </w:rPr>
          <w:t>h</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o</w:t>
        </w:r>
        <w:r w:rsidRPr="000B133E">
          <w:rPr>
            <w:rFonts w:asciiTheme="minorEastAsia" w:eastAsiaTheme="minorEastAsia" w:hAnsiTheme="minorEastAsia"/>
            <w:spacing w:val="-2"/>
            <w:sz w:val="28"/>
            <w:szCs w:val="28"/>
          </w:rPr>
          <w:t>m</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pacing w:val="4"/>
            <w:sz w:val="28"/>
            <w:szCs w:val="28"/>
          </w:rPr>
          <w:t>n</w:t>
        </w:r>
      </w:hyperlink>
      <w:r w:rsidRPr="000B133E">
        <w:rPr>
          <w:rFonts w:asciiTheme="minorEastAsia" w:eastAsiaTheme="minorEastAsia" w:hAnsiTheme="minorEastAsia" w:hint="eastAsia"/>
          <w:spacing w:val="-9"/>
          <w:sz w:val="28"/>
          <w:szCs w:val="28"/>
        </w:rPr>
        <w:t>）”</w:t>
      </w:r>
      <w:r w:rsidRPr="000B133E">
        <w:rPr>
          <w:rFonts w:asciiTheme="minorEastAsia" w:eastAsiaTheme="minorEastAsia" w:hAnsiTheme="minorEastAsia"/>
          <w:sz w:val="28"/>
          <w:szCs w:val="28"/>
        </w:rPr>
        <w:t xml:space="preserve"> 查询该产品相关信息</w:t>
      </w:r>
      <w:r w:rsidRPr="000B133E">
        <w:rPr>
          <w:rFonts w:asciiTheme="minorEastAsia" w:eastAsiaTheme="minorEastAsia" w:hAnsiTheme="minorEastAsia" w:hint="eastAsia"/>
          <w:sz w:val="28"/>
          <w:szCs w:val="28"/>
        </w:rPr>
        <w:t>。</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3.</w:t>
      </w:r>
      <w:r w:rsidRPr="000B133E">
        <w:rPr>
          <w:rFonts w:asciiTheme="minorEastAsia" w:eastAsiaTheme="minorEastAsia" w:hAnsiTheme="minorEastAsia" w:hint="eastAsia"/>
          <w:spacing w:val="-1"/>
          <w:sz w:val="28"/>
          <w:szCs w:val="28"/>
        </w:rPr>
        <w:t>乌海</w:t>
      </w:r>
      <w:r w:rsidRPr="000B133E">
        <w:rPr>
          <w:rFonts w:asciiTheme="minorEastAsia" w:eastAsiaTheme="minorEastAsia" w:hAnsiTheme="minorEastAsia"/>
          <w:spacing w:val="-1"/>
          <w:sz w:val="28"/>
          <w:szCs w:val="28"/>
        </w:rPr>
        <w:t>银行股份有限公司保留对所有文字说明的最终解释权</w:t>
      </w:r>
      <w:r w:rsidRPr="000B133E">
        <w:rPr>
          <w:rFonts w:asciiTheme="minorEastAsia" w:eastAsiaTheme="minorEastAsia" w:hAnsiTheme="minorEastAsia" w:hint="eastAsia"/>
          <w:spacing w:val="-1"/>
          <w:sz w:val="28"/>
          <w:szCs w:val="28"/>
        </w:rPr>
        <w:t>。</w:t>
      </w: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t>产品基本信息：</w:t>
      </w:r>
    </w:p>
    <w:tbl>
      <w:tblPr>
        <w:tblW w:w="8670" w:type="dxa"/>
        <w:tblInd w:w="93" w:type="dxa"/>
        <w:tblLook w:val="04A0"/>
      </w:tblPr>
      <w:tblGrid>
        <w:gridCol w:w="2992"/>
        <w:gridCol w:w="5678"/>
      </w:tblGrid>
      <w:tr w:rsidR="00B03613" w:rsidRPr="00B03613" w:rsidTr="00B03613">
        <w:trPr>
          <w:trHeight w:val="285"/>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产品名称</w:t>
            </w:r>
          </w:p>
        </w:tc>
        <w:tc>
          <w:tcPr>
            <w:tcW w:w="5678" w:type="dxa"/>
            <w:tcBorders>
              <w:top w:val="single" w:sz="4" w:space="0" w:color="auto"/>
              <w:left w:val="nil"/>
              <w:bottom w:val="single" w:sz="4" w:space="0" w:color="auto"/>
              <w:right w:val="single" w:sz="4" w:space="0" w:color="auto"/>
            </w:tcBorders>
            <w:shd w:val="clear" w:color="auto" w:fill="auto"/>
            <w:noWrap/>
            <w:vAlign w:val="center"/>
            <w:hideMark/>
          </w:tcPr>
          <w:p w:rsidR="00B03613" w:rsidRPr="00B03613" w:rsidRDefault="00CE3C85" w:rsidP="00B03613">
            <w:pPr>
              <w:widowControl/>
              <w:autoSpaceDE/>
              <w:autoSpaceDN/>
              <w:rPr>
                <w:rFonts w:cs="宋体"/>
                <w:color w:val="000000"/>
                <w:sz w:val="24"/>
                <w:szCs w:val="24"/>
                <w:lang w:val="en-US" w:bidi="ar-SA"/>
              </w:rPr>
            </w:pPr>
            <w:r w:rsidRPr="00CE3C85">
              <w:rPr>
                <w:rFonts w:cs="宋体" w:hint="eastAsia"/>
                <w:color w:val="000000"/>
                <w:sz w:val="24"/>
                <w:szCs w:val="24"/>
                <w:lang w:val="en-US" w:bidi="ar-SA"/>
              </w:rPr>
              <w:t>乌银利鑫系列</w:t>
            </w:r>
            <w:r w:rsidRPr="00CE3C85">
              <w:rPr>
                <w:rFonts w:cs="宋体"/>
                <w:color w:val="000000"/>
                <w:sz w:val="24"/>
                <w:szCs w:val="24"/>
                <w:lang w:val="en-US" w:bidi="ar-SA"/>
              </w:rPr>
              <w:t>2021年</w:t>
            </w:r>
            <w:r w:rsidR="008D49B3">
              <w:rPr>
                <w:rFonts w:cs="宋体"/>
                <w:color w:val="000000"/>
                <w:sz w:val="24"/>
                <w:szCs w:val="24"/>
                <w:lang w:val="en-US" w:bidi="ar-SA"/>
              </w:rPr>
              <w:t>第</w:t>
            </w:r>
            <w:r w:rsidR="00ED7A6B">
              <w:rPr>
                <w:rFonts w:cs="宋体" w:hint="eastAsia"/>
                <w:color w:val="000000"/>
                <w:sz w:val="24"/>
                <w:szCs w:val="24"/>
                <w:lang w:val="en-US" w:bidi="ar-SA"/>
              </w:rPr>
              <w:t>82</w:t>
            </w:r>
            <w:r w:rsidR="008D49B3">
              <w:rPr>
                <w:rFonts w:cs="宋体"/>
                <w:color w:val="000000"/>
                <w:sz w:val="24"/>
                <w:szCs w:val="24"/>
                <w:lang w:val="en-US" w:bidi="ar-SA"/>
              </w:rPr>
              <w:t>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产品代码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C381F" w:rsidP="00B03613">
            <w:pPr>
              <w:widowControl/>
              <w:autoSpaceDE/>
              <w:autoSpaceDN/>
              <w:rPr>
                <w:rFonts w:cs="宋体"/>
                <w:color w:val="000000"/>
                <w:sz w:val="24"/>
                <w:szCs w:val="24"/>
                <w:lang w:val="en-US" w:bidi="ar-SA"/>
              </w:rPr>
            </w:pPr>
            <w:r w:rsidRPr="000C381F">
              <w:rPr>
                <w:sz w:val="24"/>
                <w:szCs w:val="24"/>
              </w:rPr>
              <w:t>LX20210</w:t>
            </w:r>
            <w:r w:rsidR="000B6AA0">
              <w:rPr>
                <w:rFonts w:hint="eastAsia"/>
                <w:sz w:val="24"/>
                <w:szCs w:val="24"/>
              </w:rPr>
              <w:t>8</w:t>
            </w:r>
            <w:r w:rsidR="00ED7A6B">
              <w:rPr>
                <w:rFonts w:hint="eastAsia"/>
                <w:sz w:val="24"/>
                <w:szCs w:val="24"/>
              </w:rPr>
              <w:t>2</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全国银行业理财信息登记系统产品登记编码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F5221F" w:rsidP="00674ADA">
            <w:pPr>
              <w:widowControl/>
              <w:autoSpaceDE/>
              <w:autoSpaceDN/>
              <w:rPr>
                <w:rFonts w:cs="宋体"/>
                <w:color w:val="000000"/>
                <w:sz w:val="24"/>
                <w:szCs w:val="24"/>
                <w:lang w:val="en-US" w:bidi="ar-SA"/>
              </w:rPr>
            </w:pPr>
            <w:r w:rsidRPr="00F5221F">
              <w:rPr>
                <w:sz w:val="24"/>
                <w:szCs w:val="24"/>
              </w:rPr>
              <w:t>C1087721000</w:t>
            </w:r>
            <w:r w:rsidR="00AE7D35">
              <w:rPr>
                <w:rFonts w:hint="eastAsia"/>
                <w:sz w:val="24"/>
                <w:szCs w:val="24"/>
              </w:rPr>
              <w:t>1</w:t>
            </w:r>
            <w:r w:rsidR="002C72ED">
              <w:rPr>
                <w:rFonts w:hint="eastAsia"/>
                <w:sz w:val="24"/>
                <w:szCs w:val="24"/>
              </w:rPr>
              <w:t>6</w:t>
            </w:r>
            <w:r w:rsidR="00ED7A6B">
              <w:rPr>
                <w:rFonts w:hint="eastAsia"/>
                <w:sz w:val="24"/>
                <w:szCs w:val="24"/>
              </w:rPr>
              <w:t>6</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产品运作方式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封闭式净值型</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报告期末产品份额总额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ED7A6B" w:rsidP="00D409FD">
            <w:pPr>
              <w:widowControl/>
              <w:autoSpaceDE/>
              <w:autoSpaceDN/>
              <w:rPr>
                <w:rFonts w:cs="宋体"/>
                <w:color w:val="000000"/>
                <w:sz w:val="24"/>
                <w:szCs w:val="24"/>
                <w:lang w:val="en-US" w:bidi="ar-SA"/>
              </w:rPr>
            </w:pPr>
            <w:r>
              <w:rPr>
                <w:rFonts w:hint="eastAsia"/>
                <w:sz w:val="24"/>
                <w:szCs w:val="24"/>
              </w:rPr>
              <w:t>1</w:t>
            </w:r>
            <w:r w:rsidR="00251FF7">
              <w:rPr>
                <w:rFonts w:hint="eastAsia"/>
                <w:sz w:val="24"/>
                <w:szCs w:val="24"/>
              </w:rPr>
              <w:t>0</w:t>
            </w:r>
            <w:r w:rsidR="00E40F64">
              <w:rPr>
                <w:rFonts w:hint="eastAsia"/>
                <w:sz w:val="24"/>
                <w:szCs w:val="24"/>
              </w:rPr>
              <w:t>00</w:t>
            </w:r>
            <w:r w:rsidR="00F30827" w:rsidRPr="006838E1">
              <w:rPr>
                <w:sz w:val="24"/>
                <w:szCs w:val="24"/>
              </w:rPr>
              <w:t>万份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募集方式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公募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理财产品成立日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C381F" w:rsidP="002D37C8">
            <w:pPr>
              <w:widowControl/>
              <w:autoSpaceDE/>
              <w:autoSpaceDN/>
              <w:rPr>
                <w:rFonts w:cs="宋体"/>
                <w:color w:val="000000"/>
                <w:sz w:val="24"/>
                <w:szCs w:val="24"/>
                <w:lang w:val="en-US" w:bidi="ar-SA"/>
              </w:rPr>
            </w:pPr>
            <w:r>
              <w:rPr>
                <w:rFonts w:cs="宋体" w:hint="eastAsia"/>
                <w:color w:val="000000"/>
                <w:sz w:val="24"/>
                <w:szCs w:val="24"/>
                <w:lang w:val="en-US" w:bidi="ar-SA"/>
              </w:rPr>
              <w:t>2021</w:t>
            </w:r>
            <w:r w:rsidR="00B03613" w:rsidRPr="00B03613">
              <w:rPr>
                <w:rFonts w:cs="宋体" w:hint="eastAsia"/>
                <w:color w:val="000000"/>
                <w:sz w:val="24"/>
                <w:szCs w:val="24"/>
                <w:lang w:val="en-US" w:bidi="ar-SA"/>
              </w:rPr>
              <w:t>年</w:t>
            </w:r>
            <w:r w:rsidR="00425A9B">
              <w:rPr>
                <w:rFonts w:cs="宋体" w:hint="eastAsia"/>
                <w:color w:val="000000"/>
                <w:sz w:val="24"/>
                <w:szCs w:val="24"/>
                <w:lang w:val="en-US" w:bidi="ar-SA"/>
              </w:rPr>
              <w:t xml:space="preserve"> </w:t>
            </w:r>
            <w:r w:rsidR="00E40F64">
              <w:rPr>
                <w:rFonts w:hint="eastAsia"/>
                <w:sz w:val="24"/>
                <w:szCs w:val="24"/>
              </w:rPr>
              <w:t>9</w:t>
            </w:r>
            <w:r w:rsidR="00425A9B" w:rsidRPr="006838E1">
              <w:rPr>
                <w:sz w:val="24"/>
                <w:szCs w:val="24"/>
              </w:rPr>
              <w:t xml:space="preserve">月 </w:t>
            </w:r>
            <w:r w:rsidR="000B6AA0">
              <w:rPr>
                <w:rFonts w:hint="eastAsia"/>
                <w:sz w:val="24"/>
                <w:szCs w:val="24"/>
              </w:rPr>
              <w:t>29</w:t>
            </w:r>
            <w:r w:rsidR="00425A9B"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理财产品计划到期日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B6AA0" w:rsidP="00B03613">
            <w:pPr>
              <w:widowControl/>
              <w:autoSpaceDE/>
              <w:autoSpaceDN/>
              <w:rPr>
                <w:rFonts w:cs="宋体"/>
                <w:color w:val="000000"/>
                <w:sz w:val="24"/>
                <w:szCs w:val="24"/>
                <w:lang w:val="en-US" w:bidi="ar-SA"/>
              </w:rPr>
            </w:pPr>
            <w:r>
              <w:rPr>
                <w:rFonts w:cs="宋体" w:hint="eastAsia"/>
                <w:color w:val="000000"/>
                <w:sz w:val="24"/>
                <w:szCs w:val="24"/>
                <w:lang w:val="en-US" w:bidi="ar-SA"/>
              </w:rPr>
              <w:t>2022</w:t>
            </w:r>
            <w:r w:rsidR="00B03613" w:rsidRPr="00B03613">
              <w:rPr>
                <w:rFonts w:cs="宋体" w:hint="eastAsia"/>
                <w:color w:val="000000"/>
                <w:sz w:val="24"/>
                <w:szCs w:val="24"/>
                <w:lang w:val="en-US" w:bidi="ar-SA"/>
              </w:rPr>
              <w:t>年</w:t>
            </w:r>
            <w:r w:rsidR="00002933">
              <w:rPr>
                <w:rFonts w:cs="宋体" w:hint="eastAsia"/>
                <w:color w:val="000000"/>
                <w:sz w:val="24"/>
                <w:szCs w:val="24"/>
                <w:lang w:val="en-US" w:bidi="ar-SA"/>
              </w:rPr>
              <w:t xml:space="preserve"> </w:t>
            </w:r>
            <w:r w:rsidR="00ED7A6B">
              <w:rPr>
                <w:rFonts w:hint="eastAsia"/>
                <w:sz w:val="24"/>
                <w:szCs w:val="24"/>
              </w:rPr>
              <w:t>3</w:t>
            </w:r>
            <w:r w:rsidR="00F30827" w:rsidRPr="006838E1">
              <w:rPr>
                <w:sz w:val="24"/>
                <w:szCs w:val="24"/>
              </w:rPr>
              <w:t xml:space="preserve">月 </w:t>
            </w:r>
            <w:r>
              <w:rPr>
                <w:rFonts w:hint="eastAsia"/>
                <w:sz w:val="24"/>
                <w:szCs w:val="24"/>
              </w:rPr>
              <w:t>2</w:t>
            </w:r>
            <w:r w:rsidR="00F30827"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认购起点金额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1 万元，以 1 万元的整数倍递增</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收益计算方法</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投资者应得收益=投资者到期日持有产品份额×(到期日产品单位净值-购买日产品单位净值)持有产品份额=认购金额÷1 元/份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产品风险评级</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中低风险</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产品投资类型</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投资目标</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在保持理财资产风险可控的前提下，力争实现业绩比较基准的投资回报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投资策略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固定期限，中低风险，低估值波动的稳健投资策略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业绩比较基准</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ED7A6B" w:rsidP="00B03613">
            <w:pPr>
              <w:widowControl/>
              <w:autoSpaceDE/>
              <w:autoSpaceDN/>
              <w:rPr>
                <w:rFonts w:cs="宋体"/>
                <w:color w:val="000000"/>
                <w:sz w:val="24"/>
                <w:szCs w:val="24"/>
                <w:lang w:val="en-US" w:bidi="ar-SA"/>
              </w:rPr>
            </w:pPr>
            <w:r>
              <w:rPr>
                <w:rFonts w:cs="宋体" w:hint="eastAsia"/>
                <w:color w:val="000000"/>
                <w:sz w:val="24"/>
                <w:szCs w:val="24"/>
                <w:lang w:val="en-US" w:bidi="ar-SA"/>
              </w:rPr>
              <w:t>3.7</w:t>
            </w:r>
            <w:r w:rsidR="00B03613" w:rsidRPr="00B03613">
              <w:rPr>
                <w:rFonts w:cs="宋体" w:hint="eastAsia"/>
                <w:color w:val="000000"/>
                <w:sz w:val="24"/>
                <w:szCs w:val="24"/>
                <w:lang w:val="en-US" w:bidi="ar-SA"/>
              </w:rPr>
              <w:t>%</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产品投资性质</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税款</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根据国家法律法规、部门规章和其他规范性文件，理财产品运营过程中产生的相关税费（包括但不限于增值税及相应的附加税费等）由理财产品承担，由乌海银行予以缴纳。前述税费具体的计算、提取及缴纳， 由乌海银行按照应税行为发生时有效的相关税收法规确定。投资者取得理财收益产生的纳税义务（包括但不限于增值税、所得税等，如有），由投资人自行</w:t>
            </w:r>
            <w:r w:rsidRPr="00B03613">
              <w:rPr>
                <w:rFonts w:cs="宋体" w:hint="eastAsia"/>
                <w:color w:val="000000"/>
                <w:sz w:val="24"/>
                <w:szCs w:val="24"/>
                <w:lang w:val="en-US" w:bidi="ar-SA"/>
              </w:rPr>
              <w:br/>
              <w:t>缴纳，乌海银行不承担代扣代缴义务，法律法规另有明确规定的除外。</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管理人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乌海银行股份有限公司</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托管人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中国工商银行股份有限公司</w:t>
            </w:r>
          </w:p>
        </w:tc>
      </w:tr>
    </w:tbl>
    <w:p w:rsidR="00EB04F3" w:rsidRPr="000B133E" w:rsidRDefault="00EB04F3" w:rsidP="00EB04F3">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产品</w:t>
      </w:r>
      <w:r>
        <w:rPr>
          <w:rFonts w:ascii="仿宋" w:eastAsia="仿宋" w:hAnsi="仿宋" w:hint="eastAsia"/>
          <w:b/>
          <w:sz w:val="30"/>
        </w:rPr>
        <w:t>收益表现</w:t>
      </w:r>
      <w:r w:rsidRPr="000B133E">
        <w:rPr>
          <w:rFonts w:ascii="仿宋" w:eastAsia="仿宋" w:hAnsi="仿宋" w:hint="eastAsia"/>
          <w:b/>
          <w:sz w:val="30"/>
        </w:rPr>
        <w:t>：</w:t>
      </w:r>
    </w:p>
    <w:p w:rsidR="000B133E" w:rsidRPr="00EB04F3" w:rsidRDefault="00EB04F3" w:rsidP="00EB04F3">
      <w:pPr>
        <w:spacing w:line="492" w:lineRule="exact"/>
        <w:ind w:firstLineChars="200" w:firstLine="560"/>
        <w:rPr>
          <w:rFonts w:asciiTheme="minorEastAsia" w:eastAsiaTheme="minorEastAsia" w:hAnsiTheme="minorEastAsia"/>
          <w:sz w:val="28"/>
          <w:szCs w:val="28"/>
          <w:lang w:val="en-US"/>
        </w:rPr>
      </w:pPr>
      <w:r w:rsidRPr="00EB04F3">
        <w:rPr>
          <w:rFonts w:asciiTheme="minorEastAsia" w:eastAsiaTheme="minorEastAsia" w:hAnsiTheme="minorEastAsia" w:hint="eastAsia"/>
          <w:sz w:val="28"/>
          <w:szCs w:val="28"/>
        </w:rPr>
        <w:t>报告期内</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本产品业绩比较基准为</w:t>
      </w:r>
      <w:r w:rsidRPr="00EB04F3">
        <w:rPr>
          <w:rFonts w:asciiTheme="minorEastAsia" w:eastAsiaTheme="minorEastAsia" w:hAnsiTheme="minorEastAsia" w:hint="eastAsia"/>
          <w:spacing w:val="-65"/>
          <w:sz w:val="28"/>
          <w:szCs w:val="28"/>
        </w:rPr>
        <w:t xml:space="preserve"> </w:t>
      </w:r>
      <w:r w:rsidR="0013476A">
        <w:rPr>
          <w:rFonts w:asciiTheme="minorEastAsia" w:eastAsiaTheme="minorEastAsia" w:hAnsiTheme="minorEastAsia" w:hint="eastAsia"/>
          <w:sz w:val="28"/>
          <w:szCs w:val="28"/>
        </w:rPr>
        <w:t>3.</w:t>
      </w:r>
      <w:r w:rsidR="00ED7A6B">
        <w:rPr>
          <w:rFonts w:asciiTheme="minorEastAsia" w:eastAsiaTheme="minorEastAsia" w:hAnsiTheme="minorEastAsia" w:hint="eastAsia"/>
          <w:sz w:val="28"/>
          <w:szCs w:val="28"/>
        </w:rPr>
        <w:t>7</w:t>
      </w:r>
      <w:r w:rsidR="00F30827">
        <w:rPr>
          <w:rFonts w:asciiTheme="minorEastAsia" w:eastAsiaTheme="minorEastAsia" w:hAnsiTheme="minorEastAsia" w:hint="eastAsia"/>
          <w:noProof/>
          <w:spacing w:val="8"/>
          <w:sz w:val="28"/>
          <w:szCs w:val="28"/>
          <w:lang w:val="en-US" w:bidi="ar-SA"/>
        </w:rPr>
        <w:t>%</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报告期末，产品净值具体表现如下：</w:t>
      </w:r>
    </w:p>
    <w:tbl>
      <w:tblPr>
        <w:tblW w:w="7953" w:type="dxa"/>
        <w:tblInd w:w="93" w:type="dxa"/>
        <w:tblLook w:val="04A0"/>
      </w:tblPr>
      <w:tblGrid>
        <w:gridCol w:w="2425"/>
        <w:gridCol w:w="2552"/>
        <w:gridCol w:w="2976"/>
      </w:tblGrid>
      <w:tr w:rsidR="009A29CA" w:rsidRPr="009A29CA" w:rsidTr="009F6B8D">
        <w:trPr>
          <w:trHeight w:val="493"/>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估值日期</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产品份额净值</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产品累计净值</w:t>
            </w:r>
          </w:p>
        </w:tc>
      </w:tr>
      <w:tr w:rsidR="009A29CA" w:rsidRPr="009A29CA" w:rsidTr="009A29CA">
        <w:trPr>
          <w:trHeight w:val="27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9A29CA" w:rsidRPr="009A29CA" w:rsidRDefault="00BC25A8" w:rsidP="009A29CA">
            <w:pPr>
              <w:widowControl/>
              <w:autoSpaceDE/>
              <w:autoSpaceDN/>
              <w:jc w:val="center"/>
              <w:rPr>
                <w:rFonts w:ascii="宋体" w:eastAsia="宋体" w:hAnsi="宋体" w:cs="宋体"/>
                <w:color w:val="000000"/>
                <w:lang w:val="en-US" w:bidi="ar-SA"/>
              </w:rPr>
            </w:pPr>
            <w:r w:rsidRPr="00CE56ED">
              <w:rPr>
                <w:rFonts w:ascii="宋体" w:eastAsia="宋体" w:hAnsi="宋体" w:cs="宋体"/>
                <w:color w:val="000000" w:themeColor="text1"/>
                <w:lang w:val="en-US" w:bidi="ar-SA"/>
              </w:rPr>
              <w:t>2021-</w:t>
            </w:r>
            <w:r w:rsidRPr="00CE56ED">
              <w:rPr>
                <w:rFonts w:ascii="宋体" w:eastAsia="宋体" w:hAnsi="宋体" w:cs="宋体" w:hint="eastAsia"/>
                <w:color w:val="000000" w:themeColor="text1"/>
                <w:lang w:val="en-US" w:bidi="ar-SA"/>
              </w:rPr>
              <w:t>12</w:t>
            </w:r>
            <w:r w:rsidRPr="00CE56ED">
              <w:rPr>
                <w:rFonts w:ascii="宋体" w:eastAsia="宋体" w:hAnsi="宋体" w:cs="宋体"/>
                <w:color w:val="000000" w:themeColor="text1"/>
                <w:lang w:val="en-US" w:bidi="ar-SA"/>
              </w:rPr>
              <w:t>-3</w:t>
            </w:r>
            <w:r w:rsidRPr="00CE56ED">
              <w:rPr>
                <w:rFonts w:ascii="宋体" w:eastAsia="宋体" w:hAnsi="宋体" w:cs="宋体" w:hint="eastAsia"/>
                <w:color w:val="000000" w:themeColor="text1"/>
                <w:lang w:val="en-US" w:bidi="ar-SA"/>
              </w:rPr>
              <w:t>1</w:t>
            </w:r>
          </w:p>
        </w:tc>
        <w:tc>
          <w:tcPr>
            <w:tcW w:w="2552" w:type="dxa"/>
            <w:tcBorders>
              <w:top w:val="nil"/>
              <w:left w:val="nil"/>
              <w:bottom w:val="single" w:sz="4" w:space="0" w:color="auto"/>
              <w:right w:val="single" w:sz="4" w:space="0" w:color="auto"/>
            </w:tcBorders>
            <w:shd w:val="clear" w:color="auto" w:fill="auto"/>
            <w:noWrap/>
            <w:vAlign w:val="center"/>
            <w:hideMark/>
          </w:tcPr>
          <w:p w:rsidR="009A29CA" w:rsidRPr="009A29CA" w:rsidRDefault="00BC25A8" w:rsidP="00CC0C59">
            <w:pPr>
              <w:widowControl/>
              <w:autoSpaceDE/>
              <w:autoSpaceDN/>
              <w:jc w:val="center"/>
              <w:rPr>
                <w:rFonts w:ascii="宋体" w:eastAsia="宋体" w:hAnsi="宋体" w:cs="宋体"/>
                <w:color w:val="000000"/>
                <w:lang w:val="en-US" w:bidi="ar-SA"/>
              </w:rPr>
            </w:pPr>
            <w:r w:rsidRPr="00BC25A8">
              <w:rPr>
                <w:rFonts w:ascii="宋体" w:eastAsia="宋体" w:hAnsi="宋体" w:cs="宋体"/>
                <w:color w:val="000000"/>
                <w:lang w:val="en-US" w:bidi="ar-SA"/>
              </w:rPr>
              <w:t>1.0096</w:t>
            </w:r>
          </w:p>
        </w:tc>
        <w:tc>
          <w:tcPr>
            <w:tcW w:w="2976" w:type="dxa"/>
            <w:tcBorders>
              <w:top w:val="nil"/>
              <w:left w:val="nil"/>
              <w:bottom w:val="single" w:sz="4" w:space="0" w:color="auto"/>
              <w:right w:val="single" w:sz="4" w:space="0" w:color="auto"/>
            </w:tcBorders>
            <w:shd w:val="clear" w:color="auto" w:fill="auto"/>
            <w:noWrap/>
            <w:vAlign w:val="center"/>
            <w:hideMark/>
          </w:tcPr>
          <w:p w:rsidR="009A29CA" w:rsidRPr="009A29CA" w:rsidRDefault="00BC25A8" w:rsidP="00CC0C59">
            <w:pPr>
              <w:widowControl/>
              <w:autoSpaceDE/>
              <w:autoSpaceDN/>
              <w:jc w:val="center"/>
              <w:rPr>
                <w:rFonts w:ascii="宋体" w:eastAsia="宋体" w:hAnsi="宋体" w:cs="宋体"/>
                <w:color w:val="000000"/>
                <w:lang w:val="en-US" w:bidi="ar-SA"/>
              </w:rPr>
            </w:pPr>
            <w:r w:rsidRPr="00BC25A8">
              <w:rPr>
                <w:rFonts w:ascii="宋体" w:eastAsia="宋体" w:hAnsi="宋体" w:cs="宋体"/>
                <w:color w:val="000000"/>
                <w:lang w:val="en-US" w:bidi="ar-SA"/>
              </w:rPr>
              <w:t>1.0096</w:t>
            </w:r>
          </w:p>
        </w:tc>
      </w:tr>
    </w:tbl>
    <w:p w:rsidR="009A29CA" w:rsidRPr="000B133E" w:rsidRDefault="009A29CA" w:rsidP="009A29CA">
      <w:pPr>
        <w:pStyle w:val="a5"/>
        <w:numPr>
          <w:ilvl w:val="0"/>
          <w:numId w:val="3"/>
        </w:numPr>
        <w:spacing w:line="492" w:lineRule="exact"/>
        <w:rPr>
          <w:rFonts w:ascii="仿宋" w:eastAsia="仿宋" w:hAnsi="仿宋"/>
          <w:b/>
          <w:sz w:val="30"/>
        </w:rPr>
      </w:pPr>
      <w:r>
        <w:rPr>
          <w:rFonts w:ascii="仿宋" w:eastAsia="仿宋" w:hAnsi="仿宋" w:hint="eastAsia"/>
          <w:b/>
          <w:sz w:val="30"/>
        </w:rPr>
        <w:t>报告期内产品的投资策略和运作分析</w:t>
      </w:r>
      <w:r w:rsidRPr="000B133E">
        <w:rPr>
          <w:rFonts w:ascii="仿宋" w:eastAsia="仿宋" w:hAnsi="仿宋" w:hint="eastAsia"/>
          <w:b/>
          <w:sz w:val="30"/>
        </w:rPr>
        <w:t>：</w:t>
      </w:r>
    </w:p>
    <w:p w:rsidR="00BC25A8" w:rsidRPr="00CE56ED" w:rsidRDefault="00A41165" w:rsidP="00BC25A8">
      <w:pPr>
        <w:spacing w:line="492" w:lineRule="exact"/>
        <w:ind w:firstLineChars="200" w:firstLine="560"/>
        <w:rPr>
          <w:rFonts w:asciiTheme="minorEastAsia" w:eastAsiaTheme="minorEastAsia" w:hAnsiTheme="minorEastAsia"/>
          <w:color w:val="000000" w:themeColor="text1"/>
          <w:sz w:val="28"/>
          <w:szCs w:val="28"/>
          <w:lang w:val="en-US"/>
        </w:rPr>
      </w:pPr>
      <w:r>
        <w:rPr>
          <w:rFonts w:asciiTheme="minorEastAsia" w:eastAsiaTheme="minorEastAsia" w:hAnsiTheme="minorEastAsia" w:hint="eastAsia"/>
          <w:sz w:val="28"/>
          <w:szCs w:val="28"/>
          <w:lang w:val="en-US"/>
        </w:rPr>
        <w:t>1、</w:t>
      </w:r>
      <w:r w:rsidR="00BC25A8" w:rsidRPr="00CE56ED">
        <w:rPr>
          <w:rFonts w:asciiTheme="minorEastAsia" w:eastAsiaTheme="minorEastAsia" w:hAnsiTheme="minorEastAsia"/>
          <w:color w:val="000000" w:themeColor="text1"/>
          <w:sz w:val="28"/>
          <w:szCs w:val="28"/>
          <w:lang w:val="en-US"/>
        </w:rPr>
        <w:t>2021年</w:t>
      </w:r>
      <w:r w:rsidR="00BC25A8" w:rsidRPr="00CE56ED">
        <w:rPr>
          <w:rFonts w:asciiTheme="minorEastAsia" w:eastAsiaTheme="minorEastAsia" w:hAnsiTheme="minorEastAsia" w:hint="eastAsia"/>
          <w:color w:val="000000" w:themeColor="text1"/>
          <w:sz w:val="28"/>
          <w:szCs w:val="28"/>
          <w:lang w:val="en-US"/>
        </w:rPr>
        <w:t>四</w:t>
      </w:r>
      <w:r w:rsidR="00BC25A8" w:rsidRPr="00CE56ED">
        <w:rPr>
          <w:rFonts w:asciiTheme="minorEastAsia" w:eastAsiaTheme="minorEastAsia" w:hAnsiTheme="minorEastAsia"/>
          <w:color w:val="000000" w:themeColor="text1"/>
          <w:sz w:val="28"/>
          <w:szCs w:val="28"/>
          <w:lang w:val="en-US"/>
        </w:rPr>
        <w:t>季度经济背</w:t>
      </w:r>
      <w:r w:rsidR="00BC25A8" w:rsidRPr="00CE56ED">
        <w:rPr>
          <w:rFonts w:asciiTheme="minorEastAsia" w:eastAsiaTheme="minorEastAsia" w:hAnsiTheme="minorEastAsia"/>
          <w:color w:val="000000" w:themeColor="text1"/>
          <w:sz w:val="28"/>
          <w:szCs w:val="28"/>
        </w:rPr>
        <w:t>景</w:t>
      </w:r>
    </w:p>
    <w:p w:rsidR="00F73388" w:rsidRDefault="00BC25A8" w:rsidP="00BC25A8">
      <w:pPr>
        <w:spacing w:line="492" w:lineRule="exact"/>
        <w:ind w:firstLineChars="200" w:firstLine="560"/>
        <w:rPr>
          <w:rFonts w:asciiTheme="minorEastAsia" w:eastAsiaTheme="minorEastAsia" w:hAnsiTheme="minorEastAsia"/>
          <w:color w:val="000000" w:themeColor="text1"/>
          <w:spacing w:val="-9"/>
          <w:sz w:val="28"/>
          <w:szCs w:val="28"/>
        </w:rPr>
      </w:pPr>
      <w:r w:rsidRPr="00CE56ED">
        <w:rPr>
          <w:rFonts w:asciiTheme="minorEastAsia" w:eastAsiaTheme="minorEastAsia" w:hAnsiTheme="minorEastAsia"/>
          <w:color w:val="000000" w:themeColor="text1"/>
          <w:sz w:val="28"/>
          <w:szCs w:val="28"/>
        </w:rPr>
        <w:t>202</w:t>
      </w:r>
      <w:r w:rsidRPr="00CE56ED">
        <w:rPr>
          <w:rFonts w:asciiTheme="minorEastAsia" w:eastAsiaTheme="minorEastAsia" w:hAnsiTheme="minorEastAsia" w:hint="eastAsia"/>
          <w:color w:val="000000" w:themeColor="text1"/>
          <w:sz w:val="28"/>
          <w:szCs w:val="28"/>
        </w:rPr>
        <w:t>1</w:t>
      </w:r>
      <w:r w:rsidRPr="00CE56ED">
        <w:rPr>
          <w:rFonts w:asciiTheme="minorEastAsia" w:eastAsiaTheme="minorEastAsia" w:hAnsiTheme="minorEastAsia"/>
          <w:color w:val="000000" w:themeColor="text1"/>
          <w:sz w:val="28"/>
          <w:szCs w:val="28"/>
        </w:rPr>
        <w:t>年</w:t>
      </w:r>
      <w:r w:rsidRPr="00CE56ED">
        <w:rPr>
          <w:rFonts w:asciiTheme="minorEastAsia" w:eastAsiaTheme="minorEastAsia" w:hAnsiTheme="minorEastAsia" w:hint="eastAsia"/>
          <w:color w:val="000000" w:themeColor="text1"/>
          <w:sz w:val="28"/>
          <w:szCs w:val="28"/>
        </w:rPr>
        <w:t>以来，随着外需的持续上扬和内生动能的逐步恢复，中国宏观经济呈现稳健复苏态势，而随着规模性政策逐步退出、宏观政策的边际收紧和新旧战略转换的部署实施，宏观经济复苏势头有所放缓。四季度，国民经济实现恢复性增长，总体强劲但同比增速走低，环比增速剧烈波动。工业生产从高速增长回归常态，服务业受疫情影响尚未恢复。外资外贸保持强劲增长，消费投资复苏节奏延缓，内需动力有待较强</w:t>
      </w:r>
      <w:r w:rsidR="00F73388">
        <w:rPr>
          <w:rFonts w:asciiTheme="minorEastAsia" w:eastAsiaTheme="minorEastAsia" w:hAnsiTheme="minorEastAsia" w:hint="eastAsia"/>
          <w:color w:val="000000" w:themeColor="text1"/>
          <w:sz w:val="28"/>
          <w:szCs w:val="28"/>
        </w:rPr>
        <w:t>。</w:t>
      </w:r>
    </w:p>
    <w:p w:rsidR="00A41165" w:rsidRDefault="00A41165" w:rsidP="00A41165">
      <w:pPr>
        <w:spacing w:line="492" w:lineRule="exact"/>
        <w:ind w:firstLineChars="200" w:firstLine="524"/>
        <w:rPr>
          <w:rFonts w:asciiTheme="minorEastAsia" w:eastAsiaTheme="minorEastAsia" w:hAnsiTheme="minorEastAsia"/>
          <w:color w:val="000000" w:themeColor="text1"/>
          <w:spacing w:val="-9"/>
          <w:sz w:val="28"/>
          <w:szCs w:val="28"/>
        </w:rPr>
      </w:pPr>
      <w:r>
        <w:rPr>
          <w:rFonts w:asciiTheme="minorEastAsia" w:eastAsiaTheme="minorEastAsia" w:hAnsiTheme="minorEastAsia" w:hint="eastAsia"/>
          <w:color w:val="000000" w:themeColor="text1"/>
          <w:spacing w:val="-9"/>
          <w:sz w:val="28"/>
          <w:szCs w:val="28"/>
        </w:rPr>
        <w:t>2、资产配置策略</w:t>
      </w:r>
    </w:p>
    <w:p w:rsidR="00A41165" w:rsidRDefault="00A41165" w:rsidP="00A41165">
      <w:pPr>
        <w:spacing w:line="492" w:lineRule="exact"/>
        <w:ind w:firstLineChars="200" w:firstLine="560"/>
        <w:rPr>
          <w:rFonts w:asciiTheme="minorEastAsia" w:eastAsiaTheme="minorEastAsia" w:hAnsiTheme="minorEastAsia"/>
          <w:sz w:val="28"/>
          <w:szCs w:val="28"/>
        </w:rPr>
      </w:pPr>
      <w:r w:rsidRPr="00A41165">
        <w:rPr>
          <w:rFonts w:asciiTheme="minorEastAsia" w:eastAsiaTheme="minorEastAsia" w:hAnsiTheme="minorEastAsia" w:hint="eastAsia"/>
          <w:sz w:val="28"/>
          <w:szCs w:val="28"/>
        </w:rPr>
        <w:t>利鑫</w:t>
      </w:r>
      <w:r w:rsidRPr="00A41165">
        <w:rPr>
          <w:rFonts w:asciiTheme="minorEastAsia" w:eastAsiaTheme="minorEastAsia" w:hAnsiTheme="minorEastAsia"/>
          <w:sz w:val="28"/>
          <w:szCs w:val="28"/>
        </w:rPr>
        <w:t>系列产品按照自上而下的方法对计划财产进行动态的整体资产配置和类属资产配置。一方面根据整体资产配置要求通过积极的投资策略主动寻找风险中蕴藏的投资机</w:t>
      </w:r>
      <w:r w:rsidRPr="00A41165">
        <w:rPr>
          <w:rFonts w:asciiTheme="minorEastAsia" w:eastAsiaTheme="minorEastAsia" w:hAnsiTheme="minorEastAsia"/>
          <w:w w:val="95"/>
          <w:sz w:val="28"/>
          <w:szCs w:val="28"/>
        </w:rPr>
        <w:t xml:space="preserve">会，发掘价格被低估的且符合流动性要求的合适投资品种； </w:t>
      </w:r>
      <w:r w:rsidRPr="00A41165">
        <w:rPr>
          <w:rFonts w:asciiTheme="minorEastAsia" w:eastAsiaTheme="minorEastAsia" w:hAnsiTheme="minorEastAsia"/>
          <w:sz w:val="28"/>
          <w:szCs w:val="28"/>
        </w:rPr>
        <w:t>另一方面通过风险预算管理、平均剩余期限控制和信用等级限定等方式有效控制投资风险，从而在一定的风险限制范围</w:t>
      </w:r>
      <w:r w:rsidR="008A09CE">
        <w:rPr>
          <w:rFonts w:asciiTheme="minorEastAsia" w:eastAsiaTheme="minorEastAsia" w:hAnsiTheme="minorEastAsia" w:hint="eastAsia"/>
          <w:sz w:val="28"/>
          <w:szCs w:val="28"/>
        </w:rPr>
        <w:t>内达到风险收益最佳配比。</w:t>
      </w:r>
    </w:p>
    <w:p w:rsidR="00873F04" w:rsidRPr="00873F0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color w:val="000000" w:themeColor="text1"/>
          <w:sz w:val="28"/>
          <w:szCs w:val="28"/>
          <w:lang w:val="en-US"/>
        </w:rPr>
        <w:t>整体资产配置策略</w:t>
      </w:r>
    </w:p>
    <w:p w:rsidR="00873F0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hint="eastAsia"/>
          <w:color w:val="000000" w:themeColor="text1"/>
          <w:sz w:val="28"/>
          <w:szCs w:val="28"/>
          <w:lang w:val="en-US"/>
        </w:rPr>
        <w:t>通过对国内外宏观经济状况、市场利率走势、市场资金供求情况，以及证券市场走势、信用风险情况、风险预算和有关法律法规等因素的综合分析，在整体资产之间进行动态配置，确定资产的最优配置比例和相应的风险水平。</w:t>
      </w:r>
    </w:p>
    <w:p w:rsidR="00873F04" w:rsidRPr="00873F0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color w:val="000000" w:themeColor="text1"/>
          <w:sz w:val="28"/>
          <w:szCs w:val="28"/>
          <w:lang w:val="en-US"/>
        </w:rPr>
        <w:t>类属资产配置策略</w:t>
      </w:r>
    </w:p>
    <w:p w:rsidR="00873F0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hint="eastAsia"/>
          <w:color w:val="000000" w:themeColor="text1"/>
          <w:sz w:val="28"/>
          <w:szCs w:val="28"/>
          <w:lang w:val="en-US"/>
        </w:rPr>
        <w:t>在整体资产配置策略的指导下，根据资产的风险来源、</w:t>
      </w:r>
      <w:r w:rsidRPr="00873F04">
        <w:rPr>
          <w:rFonts w:asciiTheme="minorEastAsia" w:eastAsiaTheme="minorEastAsia" w:hAnsiTheme="minorEastAsia"/>
          <w:color w:val="000000" w:themeColor="text1"/>
          <w:sz w:val="28"/>
          <w:szCs w:val="28"/>
          <w:lang w:val="en-US"/>
        </w:rPr>
        <w:t xml:space="preserve"> 收益率</w:t>
      </w:r>
      <w:r w:rsidRPr="00873F04">
        <w:rPr>
          <w:rFonts w:asciiTheme="minorEastAsia" w:eastAsiaTheme="minorEastAsia" w:hAnsiTheme="minorEastAsia"/>
          <w:color w:val="000000" w:themeColor="text1"/>
          <w:sz w:val="28"/>
          <w:szCs w:val="28"/>
          <w:lang w:val="en-US"/>
        </w:rPr>
        <w:lastRenderedPageBreak/>
        <w:t>水平以及市场流动性等因素，根据不同资产类属（例如债券、货币、现金等），采取积极投资策略，定期对投资组合类属资产进行最优化配置和调整，确定类属资产的最优权数。</w:t>
      </w:r>
    </w:p>
    <w:p w:rsidR="005177EC" w:rsidRPr="005177EC" w:rsidRDefault="005177EC" w:rsidP="005177EC">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5177EC">
        <w:rPr>
          <w:rFonts w:asciiTheme="minorEastAsia" w:eastAsiaTheme="minorEastAsia" w:hAnsiTheme="minorEastAsia"/>
          <w:color w:val="000000" w:themeColor="text1"/>
          <w:sz w:val="28"/>
          <w:szCs w:val="28"/>
          <w:lang w:val="en-US"/>
        </w:rPr>
        <w:t>明细资产配置策略</w:t>
      </w:r>
    </w:p>
    <w:p w:rsidR="005177EC" w:rsidRDefault="005177EC" w:rsidP="005177EC">
      <w:pPr>
        <w:spacing w:line="492" w:lineRule="exact"/>
        <w:ind w:firstLineChars="200" w:firstLine="560"/>
        <w:rPr>
          <w:rFonts w:asciiTheme="minorEastAsia" w:eastAsiaTheme="minorEastAsia" w:hAnsiTheme="minorEastAsia"/>
          <w:color w:val="000000" w:themeColor="text1"/>
          <w:sz w:val="28"/>
          <w:szCs w:val="28"/>
          <w:lang w:val="en-US"/>
        </w:rPr>
      </w:pPr>
      <w:r w:rsidRPr="005177EC">
        <w:rPr>
          <w:rFonts w:asciiTheme="minorEastAsia" w:eastAsiaTheme="minorEastAsia" w:hAnsiTheme="minorEastAsia" w:hint="eastAsia"/>
          <w:color w:val="000000" w:themeColor="text1"/>
          <w:sz w:val="28"/>
          <w:szCs w:val="28"/>
          <w:lang w:val="en-US"/>
        </w:rPr>
        <w:t>在明细资产配置上，首先根据明细资产的剩余期限、资产信用等级、流动性指标决定是否纳入组合；其次，根据个别资产的收益率与剩余期限的配比，对照利鑫系列产品的收益要求决定是否纳入组合；最后，根据个别资产的流动性指标，决定投资总量。</w:t>
      </w:r>
    </w:p>
    <w:p w:rsidR="0093754A" w:rsidRPr="000B133E" w:rsidRDefault="0093754A" w:rsidP="0093754A">
      <w:pPr>
        <w:pStyle w:val="a5"/>
        <w:numPr>
          <w:ilvl w:val="0"/>
          <w:numId w:val="3"/>
        </w:numPr>
        <w:spacing w:line="492" w:lineRule="exact"/>
        <w:rPr>
          <w:rFonts w:ascii="仿宋" w:eastAsia="仿宋" w:hAnsi="仿宋"/>
          <w:b/>
          <w:sz w:val="30"/>
        </w:rPr>
      </w:pPr>
      <w:r>
        <w:rPr>
          <w:rFonts w:ascii="仿宋" w:eastAsia="仿宋" w:hAnsi="仿宋" w:hint="eastAsia"/>
          <w:b/>
          <w:sz w:val="30"/>
        </w:rPr>
        <w:t>投资组合情况</w:t>
      </w:r>
      <w:r w:rsidRPr="000B133E">
        <w:rPr>
          <w:rFonts w:ascii="仿宋" w:eastAsia="仿宋" w:hAnsi="仿宋" w:hint="eastAsia"/>
          <w:b/>
          <w:sz w:val="30"/>
        </w:rPr>
        <w:t>：</w:t>
      </w:r>
    </w:p>
    <w:p w:rsidR="0093754A" w:rsidRDefault="0093754A" w:rsidP="00C90A0F">
      <w:pPr>
        <w:pStyle w:val="a5"/>
        <w:numPr>
          <w:ilvl w:val="0"/>
          <w:numId w:val="5"/>
        </w:numPr>
        <w:spacing w:line="492" w:lineRule="exact"/>
        <w:rPr>
          <w:rFonts w:asciiTheme="minorEastAsia" w:eastAsiaTheme="minorEastAsia" w:hAnsiTheme="minorEastAsia"/>
          <w:b/>
          <w:sz w:val="28"/>
          <w:szCs w:val="28"/>
        </w:rPr>
      </w:pPr>
      <w:r w:rsidRPr="00C90A0F">
        <w:rPr>
          <w:rFonts w:asciiTheme="minorEastAsia" w:eastAsiaTheme="minorEastAsia" w:hAnsiTheme="minorEastAsia" w:hint="eastAsia"/>
          <w:b/>
          <w:sz w:val="28"/>
          <w:szCs w:val="28"/>
          <w:lang w:val="en-US"/>
        </w:rPr>
        <w:t>报告</w:t>
      </w:r>
      <w:r w:rsidRPr="00C90A0F">
        <w:rPr>
          <w:rFonts w:asciiTheme="minorEastAsia" w:eastAsiaTheme="minorEastAsia" w:hAnsiTheme="minorEastAsia" w:hint="eastAsia"/>
          <w:b/>
          <w:sz w:val="28"/>
          <w:szCs w:val="28"/>
        </w:rPr>
        <w:t>期末产品资产组合情况</w:t>
      </w:r>
      <w:r w:rsidR="00C90A0F">
        <w:rPr>
          <w:rFonts w:asciiTheme="minorEastAsia" w:eastAsiaTheme="minorEastAsia" w:hAnsiTheme="minorEastAsia" w:hint="eastAsia"/>
          <w:b/>
          <w:sz w:val="28"/>
          <w:szCs w:val="28"/>
        </w:rPr>
        <w:t>：</w:t>
      </w:r>
    </w:p>
    <w:p w:rsidR="00C90A0F" w:rsidRPr="00C90A0F" w:rsidRDefault="00C90A0F" w:rsidP="00C90A0F">
      <w:pPr>
        <w:pStyle w:val="a5"/>
        <w:spacing w:line="492" w:lineRule="exact"/>
        <w:ind w:left="1185" w:firstLine="0"/>
        <w:rPr>
          <w:rFonts w:asciiTheme="minorEastAsia" w:eastAsiaTheme="minorEastAsia" w:hAnsiTheme="minorEastAsia"/>
          <w:b/>
          <w:sz w:val="28"/>
          <w:szCs w:val="28"/>
          <w:lang w:val="en-US"/>
        </w:rPr>
      </w:pPr>
    </w:p>
    <w:tbl>
      <w:tblPr>
        <w:tblW w:w="7953" w:type="dxa"/>
        <w:tblInd w:w="93" w:type="dxa"/>
        <w:tblLook w:val="04A0"/>
      </w:tblPr>
      <w:tblGrid>
        <w:gridCol w:w="2425"/>
        <w:gridCol w:w="2977"/>
        <w:gridCol w:w="2551"/>
      </w:tblGrid>
      <w:tr w:rsidR="00955F04" w:rsidRPr="00955F04" w:rsidTr="00955F04">
        <w:trPr>
          <w:trHeight w:val="27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项目</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资产类型</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占投资组合比例</w:t>
            </w:r>
          </w:p>
        </w:tc>
      </w:tr>
      <w:tr w:rsidR="00955F04" w:rsidRPr="00955F04" w:rsidTr="00955F04">
        <w:trPr>
          <w:trHeight w:val="270"/>
        </w:trPr>
        <w:tc>
          <w:tcPr>
            <w:tcW w:w="24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固定收益类</w:t>
            </w: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现金、存款及回购</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BC25A8" w:rsidP="00F73388">
            <w:pPr>
              <w:widowControl/>
              <w:autoSpaceDE/>
              <w:autoSpaceDN/>
              <w:jc w:val="center"/>
              <w:rPr>
                <w:rFonts w:ascii="宋体" w:eastAsia="宋体" w:hAnsi="宋体" w:cs="宋体"/>
                <w:color w:val="000000"/>
                <w:lang w:val="en-US" w:bidi="ar-SA"/>
              </w:rPr>
            </w:pPr>
            <w:r>
              <w:rPr>
                <w:rFonts w:hint="eastAsia"/>
                <w:color w:val="000000"/>
                <w:lang w:val="en-US" w:bidi="ar-SA"/>
              </w:rPr>
              <w:t>49.27%</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债券类、ABS 等</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BC25A8" w:rsidP="00F73388">
            <w:pPr>
              <w:widowControl/>
              <w:autoSpaceDE/>
              <w:autoSpaceDN/>
              <w:jc w:val="center"/>
              <w:rPr>
                <w:rFonts w:ascii="宋体" w:eastAsia="宋体" w:hAnsi="宋体" w:cs="宋体"/>
                <w:color w:val="000000"/>
                <w:lang w:val="en-US" w:bidi="ar-SA"/>
              </w:rPr>
            </w:pPr>
            <w:r>
              <w:rPr>
                <w:rFonts w:hint="eastAsia"/>
                <w:color w:val="000000"/>
                <w:lang w:val="en-US" w:bidi="ar-SA"/>
              </w:rPr>
              <w:t>50.73%</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债权类资产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权益类</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商品及金融衍生品</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合计</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100%</w:t>
            </w:r>
          </w:p>
        </w:tc>
      </w:tr>
    </w:tbl>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3754A"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2、报告期末杠杆融资情况</w:t>
      </w:r>
      <w:r w:rsidRPr="00C90A0F">
        <w:rPr>
          <w:rFonts w:asciiTheme="minorEastAsia" w:eastAsiaTheme="minorEastAsia" w:hAnsiTheme="minorEastAsia"/>
          <w:b/>
          <w:color w:val="000000" w:themeColor="text1"/>
          <w:sz w:val="28"/>
          <w:szCs w:val="28"/>
          <w:lang w:val="en-US"/>
        </w:rPr>
        <w:t xml:space="preserve"> ：</w:t>
      </w:r>
      <w:r w:rsidRPr="00C90A0F">
        <w:rPr>
          <w:rFonts w:asciiTheme="minorEastAsia" w:eastAsiaTheme="minorEastAsia" w:hAnsiTheme="minorEastAsia"/>
          <w:color w:val="000000" w:themeColor="text1"/>
          <w:sz w:val="28"/>
          <w:szCs w:val="28"/>
          <w:lang w:val="en-US"/>
        </w:rPr>
        <w:t>无</w:t>
      </w:r>
    </w:p>
    <w:p w:rsidR="00955F04"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3、非标准化债券类资产明细：</w:t>
      </w:r>
      <w:r w:rsidRPr="00C90A0F">
        <w:rPr>
          <w:rFonts w:asciiTheme="minorEastAsia" w:eastAsiaTheme="minorEastAsia" w:hAnsiTheme="minorEastAsia" w:hint="eastAsia"/>
          <w:color w:val="000000" w:themeColor="text1"/>
          <w:sz w:val="28"/>
          <w:szCs w:val="28"/>
          <w:lang w:val="en-US"/>
        </w:rPr>
        <w:t>无</w:t>
      </w:r>
    </w:p>
    <w:p w:rsidR="00C90A0F" w:rsidRPr="009C20DF" w:rsidRDefault="00955F04" w:rsidP="009C20D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4、报告期末资产持仓前十基本信息</w:t>
      </w:r>
      <w:r w:rsidR="00C90A0F" w:rsidRPr="00C90A0F">
        <w:rPr>
          <w:rFonts w:asciiTheme="minorEastAsia" w:eastAsiaTheme="minorEastAsia" w:hAnsiTheme="minorEastAsia" w:hint="eastAsia"/>
          <w:b/>
          <w:color w:val="000000" w:themeColor="text1"/>
          <w:sz w:val="28"/>
          <w:szCs w:val="28"/>
          <w:lang w:val="en-US"/>
        </w:rPr>
        <w:t>：</w:t>
      </w:r>
    </w:p>
    <w:tbl>
      <w:tblPr>
        <w:tblStyle w:val="TableNormal"/>
        <w:tblW w:w="793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8"/>
        <w:gridCol w:w="2977"/>
        <w:gridCol w:w="1701"/>
        <w:gridCol w:w="1842"/>
      </w:tblGrid>
      <w:tr w:rsidR="00C90A0F" w:rsidTr="00C90A0F">
        <w:trPr>
          <w:trHeight w:val="311"/>
        </w:trPr>
        <w:tc>
          <w:tcPr>
            <w:tcW w:w="1418" w:type="dxa"/>
          </w:tcPr>
          <w:p w:rsidR="00C90A0F" w:rsidRDefault="00C90A0F" w:rsidP="00C90A0F">
            <w:pPr>
              <w:pStyle w:val="TableParagraph"/>
              <w:spacing w:line="292" w:lineRule="exact"/>
              <w:ind w:left="395" w:right="389"/>
              <w:rPr>
                <w:rFonts w:ascii="Microsoft JhengHei" w:eastAsia="Microsoft JhengHei"/>
                <w:b/>
              </w:rPr>
            </w:pPr>
            <w:r>
              <w:rPr>
                <w:rFonts w:ascii="Microsoft JhengHei" w:eastAsia="Microsoft JhengHei" w:hint="eastAsia"/>
                <w:b/>
              </w:rPr>
              <w:t>序号</w:t>
            </w:r>
          </w:p>
        </w:tc>
        <w:tc>
          <w:tcPr>
            <w:tcW w:w="2977" w:type="dxa"/>
          </w:tcPr>
          <w:p w:rsidR="00C90A0F" w:rsidRDefault="00C90A0F" w:rsidP="00C90A0F">
            <w:pPr>
              <w:pStyle w:val="TableParagraph"/>
              <w:spacing w:line="292" w:lineRule="exact"/>
              <w:ind w:left="832"/>
              <w:rPr>
                <w:rFonts w:ascii="Microsoft JhengHei" w:eastAsia="Microsoft JhengHei"/>
                <w:b/>
              </w:rPr>
            </w:pPr>
            <w:r>
              <w:rPr>
                <w:rFonts w:ascii="Microsoft JhengHei" w:eastAsia="Microsoft JhengHei" w:hint="eastAsia"/>
                <w:b/>
              </w:rPr>
              <w:t>资产名称</w:t>
            </w:r>
          </w:p>
        </w:tc>
        <w:tc>
          <w:tcPr>
            <w:tcW w:w="1701" w:type="dxa"/>
          </w:tcPr>
          <w:p w:rsidR="00C90A0F" w:rsidRDefault="00C90A0F" w:rsidP="00C90A0F">
            <w:pPr>
              <w:pStyle w:val="TableParagraph"/>
              <w:spacing w:line="292" w:lineRule="exact"/>
              <w:ind w:left="496"/>
              <w:rPr>
                <w:rFonts w:ascii="Microsoft JhengHei" w:eastAsia="Microsoft JhengHei"/>
                <w:b/>
              </w:rPr>
            </w:pPr>
            <w:r>
              <w:rPr>
                <w:rFonts w:ascii="Microsoft JhengHei" w:eastAsia="Microsoft JhengHei" w:hint="eastAsia"/>
                <w:b/>
              </w:rPr>
              <w:t>规模（元）</w:t>
            </w:r>
          </w:p>
        </w:tc>
        <w:tc>
          <w:tcPr>
            <w:tcW w:w="1842" w:type="dxa"/>
          </w:tcPr>
          <w:p w:rsidR="00C90A0F" w:rsidRDefault="00C90A0F" w:rsidP="00C90A0F">
            <w:pPr>
              <w:pStyle w:val="TableParagraph"/>
              <w:spacing w:line="292" w:lineRule="exact"/>
              <w:ind w:left="319"/>
              <w:rPr>
                <w:rFonts w:ascii="Microsoft JhengHei" w:eastAsia="Microsoft JhengHei"/>
                <w:b/>
              </w:rPr>
            </w:pPr>
            <w:r>
              <w:rPr>
                <w:rFonts w:ascii="Microsoft JhengHei" w:eastAsia="Microsoft JhengHei" w:hint="eastAsia"/>
                <w:b/>
              </w:rPr>
              <w:t>占比</w:t>
            </w:r>
          </w:p>
        </w:tc>
      </w:tr>
      <w:tr w:rsidR="009C20DF" w:rsidTr="00C90A0F">
        <w:trPr>
          <w:trHeight w:val="311"/>
        </w:trPr>
        <w:tc>
          <w:tcPr>
            <w:tcW w:w="1418" w:type="dxa"/>
          </w:tcPr>
          <w:p w:rsidR="009C20DF" w:rsidRDefault="00CC0C59" w:rsidP="00C90A0F">
            <w:pPr>
              <w:pStyle w:val="TableParagraph"/>
              <w:spacing w:before="15" w:line="277" w:lineRule="exact"/>
              <w:ind w:left="6"/>
              <w:rPr>
                <w:lang w:eastAsia="zh-CN"/>
              </w:rPr>
            </w:pPr>
            <w:r>
              <w:rPr>
                <w:rFonts w:hint="eastAsia"/>
                <w:lang w:eastAsia="zh-CN"/>
              </w:rPr>
              <w:t>1</w:t>
            </w:r>
          </w:p>
        </w:tc>
        <w:tc>
          <w:tcPr>
            <w:tcW w:w="2977" w:type="dxa"/>
          </w:tcPr>
          <w:p w:rsidR="009C20DF" w:rsidRPr="00E40F64" w:rsidRDefault="00674ADA" w:rsidP="00F30827">
            <w:pPr>
              <w:pStyle w:val="TableParagraph"/>
              <w:spacing w:before="22"/>
              <w:ind w:left="107"/>
              <w:rPr>
                <w:rFonts w:asciiTheme="minorEastAsia" w:eastAsiaTheme="minorEastAsia" w:hAnsiTheme="minorEastAsia"/>
                <w:lang w:eastAsia="zh-CN"/>
              </w:rPr>
            </w:pPr>
            <w:r w:rsidRPr="00674ADA">
              <w:rPr>
                <w:rFonts w:asciiTheme="minorEastAsia" w:eastAsiaTheme="minorEastAsia" w:hAnsiTheme="minorEastAsia" w:hint="eastAsia"/>
                <w:lang w:eastAsia="zh-CN"/>
              </w:rPr>
              <w:t>融通资本丰泽</w:t>
            </w:r>
            <w:r w:rsidRPr="00674ADA">
              <w:rPr>
                <w:rFonts w:asciiTheme="minorEastAsia" w:eastAsiaTheme="minorEastAsia" w:hAnsiTheme="minorEastAsia"/>
                <w:lang w:eastAsia="zh-CN"/>
              </w:rPr>
              <w:t>2号专项资产管理计划-</w:t>
            </w:r>
            <w:r w:rsidR="000B6AA0" w:rsidRPr="000B6AA0">
              <w:rPr>
                <w:rFonts w:asciiTheme="minorEastAsia" w:eastAsiaTheme="minorEastAsia" w:hAnsiTheme="minorEastAsia"/>
                <w:lang w:eastAsia="zh-CN"/>
              </w:rPr>
              <w:t>1620028</w:t>
            </w:r>
          </w:p>
        </w:tc>
        <w:tc>
          <w:tcPr>
            <w:tcW w:w="1701" w:type="dxa"/>
          </w:tcPr>
          <w:p w:rsidR="009C20DF" w:rsidRDefault="00BC25A8" w:rsidP="00F30827">
            <w:pPr>
              <w:pStyle w:val="TableParagraph"/>
              <w:spacing w:before="28"/>
              <w:ind w:left="107"/>
              <w:rPr>
                <w:rFonts w:ascii="Calibri"/>
                <w:sz w:val="21"/>
                <w:lang w:eastAsia="zh-CN"/>
              </w:rPr>
            </w:pPr>
            <w:r>
              <w:rPr>
                <w:rFonts w:ascii="Calibri"/>
                <w:sz w:val="21"/>
                <w:lang w:eastAsia="zh-CN"/>
              </w:rPr>
              <w:t>512</w:t>
            </w:r>
            <w:r w:rsidRPr="00BC25A8">
              <w:rPr>
                <w:rFonts w:ascii="Calibri"/>
                <w:sz w:val="21"/>
                <w:lang w:eastAsia="zh-CN"/>
              </w:rPr>
              <w:t>3729</w:t>
            </w:r>
            <w:r>
              <w:rPr>
                <w:rFonts w:ascii="Calibri" w:hint="eastAsia"/>
                <w:sz w:val="21"/>
                <w:lang w:eastAsia="zh-CN"/>
              </w:rPr>
              <w:t>.</w:t>
            </w:r>
            <w:r w:rsidRPr="00BC25A8">
              <w:rPr>
                <w:rFonts w:ascii="Calibri"/>
                <w:sz w:val="21"/>
                <w:lang w:eastAsia="zh-CN"/>
              </w:rPr>
              <w:t>5</w:t>
            </w:r>
          </w:p>
        </w:tc>
        <w:tc>
          <w:tcPr>
            <w:tcW w:w="1842" w:type="dxa"/>
          </w:tcPr>
          <w:p w:rsidR="009C20DF" w:rsidRDefault="00ED7A6B" w:rsidP="00BC25A8">
            <w:pPr>
              <w:pStyle w:val="TableParagraph"/>
              <w:spacing w:before="28"/>
              <w:ind w:left="107"/>
              <w:rPr>
                <w:color w:val="000000"/>
                <w:lang w:val="en-US" w:eastAsia="zh-CN" w:bidi="ar-SA"/>
              </w:rPr>
            </w:pPr>
            <w:r>
              <w:rPr>
                <w:rFonts w:hint="eastAsia"/>
                <w:color w:val="000000"/>
                <w:lang w:val="en-US" w:eastAsia="zh-CN" w:bidi="ar-SA"/>
              </w:rPr>
              <w:t>50.</w:t>
            </w:r>
            <w:r w:rsidR="00BC25A8">
              <w:rPr>
                <w:rFonts w:hint="eastAsia"/>
                <w:color w:val="000000"/>
                <w:lang w:val="en-US" w:eastAsia="zh-CN" w:bidi="ar-SA"/>
              </w:rPr>
              <w:t>73</w:t>
            </w:r>
            <w:r w:rsidR="009C20DF">
              <w:rPr>
                <w:rFonts w:hint="eastAsia"/>
                <w:color w:val="000000"/>
                <w:lang w:val="en-US" w:bidi="ar-SA"/>
              </w:rPr>
              <w:t>%</w:t>
            </w:r>
          </w:p>
        </w:tc>
      </w:tr>
      <w:tr w:rsidR="00F30827" w:rsidRPr="00306EBA" w:rsidTr="00C90A0F">
        <w:trPr>
          <w:trHeight w:val="314"/>
        </w:trPr>
        <w:tc>
          <w:tcPr>
            <w:tcW w:w="1418" w:type="dxa"/>
          </w:tcPr>
          <w:p w:rsidR="00F30827" w:rsidRPr="005938C6" w:rsidRDefault="00CC0C59" w:rsidP="00C90A0F">
            <w:pPr>
              <w:pStyle w:val="TableParagraph"/>
              <w:spacing w:before="15" w:line="279" w:lineRule="exact"/>
              <w:ind w:left="6"/>
              <w:rPr>
                <w:color w:val="000000" w:themeColor="text1"/>
                <w:lang w:eastAsia="zh-CN"/>
              </w:rPr>
            </w:pPr>
            <w:r>
              <w:rPr>
                <w:rFonts w:hint="eastAsia"/>
                <w:color w:val="000000" w:themeColor="text1"/>
                <w:lang w:eastAsia="zh-CN"/>
              </w:rPr>
              <w:t>2</w:t>
            </w:r>
          </w:p>
        </w:tc>
        <w:tc>
          <w:tcPr>
            <w:tcW w:w="2977" w:type="dxa"/>
          </w:tcPr>
          <w:p w:rsidR="00F30827" w:rsidRPr="005938C6" w:rsidRDefault="00D16D9B" w:rsidP="00F30827">
            <w:pPr>
              <w:pStyle w:val="TableParagraph"/>
              <w:spacing w:before="22"/>
              <w:ind w:left="107"/>
              <w:rPr>
                <w:color w:val="000000" w:themeColor="text1"/>
                <w:sz w:val="21"/>
                <w:lang w:eastAsia="zh-CN"/>
              </w:rPr>
            </w:pPr>
            <w:r>
              <w:rPr>
                <w:rFonts w:asciiTheme="minorEastAsia" w:eastAsiaTheme="minorEastAsia" w:hAnsiTheme="minorEastAsia" w:hint="eastAsia"/>
                <w:color w:val="000000" w:themeColor="text1"/>
                <w:lang w:eastAsia="zh-CN"/>
              </w:rPr>
              <w:t>吉林环城农商行协议存款</w:t>
            </w:r>
          </w:p>
        </w:tc>
        <w:tc>
          <w:tcPr>
            <w:tcW w:w="1701" w:type="dxa"/>
          </w:tcPr>
          <w:p w:rsidR="00F30827" w:rsidRPr="005938C6" w:rsidRDefault="00BC25A8" w:rsidP="00F30827">
            <w:pPr>
              <w:pStyle w:val="TableParagraph"/>
              <w:spacing w:before="28"/>
              <w:ind w:left="107"/>
              <w:rPr>
                <w:rFonts w:ascii="Calibri"/>
                <w:color w:val="000000" w:themeColor="text1"/>
                <w:sz w:val="21"/>
                <w:lang w:eastAsia="zh-CN"/>
              </w:rPr>
            </w:pPr>
            <w:r>
              <w:rPr>
                <w:rFonts w:ascii="Calibri"/>
                <w:color w:val="000000" w:themeColor="text1"/>
                <w:sz w:val="21"/>
                <w:lang w:eastAsia="zh-CN"/>
              </w:rPr>
              <w:t>497</w:t>
            </w:r>
            <w:r w:rsidRPr="00BC25A8">
              <w:rPr>
                <w:rFonts w:ascii="Calibri"/>
                <w:color w:val="000000" w:themeColor="text1"/>
                <w:sz w:val="21"/>
                <w:lang w:eastAsia="zh-CN"/>
              </w:rPr>
              <w:t>6929</w:t>
            </w:r>
            <w:r>
              <w:rPr>
                <w:rFonts w:ascii="Calibri" w:hint="eastAsia"/>
                <w:color w:val="000000" w:themeColor="text1"/>
                <w:sz w:val="21"/>
                <w:lang w:eastAsia="zh-CN"/>
              </w:rPr>
              <w:t>.</w:t>
            </w:r>
            <w:r w:rsidRPr="00BC25A8">
              <w:rPr>
                <w:rFonts w:ascii="Calibri"/>
                <w:color w:val="000000" w:themeColor="text1"/>
                <w:sz w:val="21"/>
                <w:lang w:eastAsia="zh-CN"/>
              </w:rPr>
              <w:t>46</w:t>
            </w:r>
          </w:p>
        </w:tc>
        <w:tc>
          <w:tcPr>
            <w:tcW w:w="1842" w:type="dxa"/>
          </w:tcPr>
          <w:p w:rsidR="00F30827" w:rsidRPr="005938C6" w:rsidRDefault="00ED7A6B" w:rsidP="00BC25A8">
            <w:pPr>
              <w:pStyle w:val="TableParagraph"/>
              <w:spacing w:before="28"/>
              <w:ind w:left="107"/>
              <w:rPr>
                <w:rFonts w:ascii="Calibri"/>
                <w:color w:val="000000" w:themeColor="text1"/>
                <w:sz w:val="21"/>
              </w:rPr>
            </w:pPr>
            <w:r>
              <w:rPr>
                <w:rFonts w:hint="eastAsia"/>
                <w:color w:val="000000"/>
                <w:lang w:val="en-US" w:eastAsia="zh-CN" w:bidi="ar-SA"/>
              </w:rPr>
              <w:t>49.</w:t>
            </w:r>
            <w:r w:rsidR="00BC25A8">
              <w:rPr>
                <w:rFonts w:hint="eastAsia"/>
                <w:color w:val="000000"/>
                <w:lang w:val="en-US" w:eastAsia="zh-CN" w:bidi="ar-SA"/>
              </w:rPr>
              <w:t>27</w:t>
            </w:r>
            <w:r w:rsidR="00A30969">
              <w:rPr>
                <w:rFonts w:hint="eastAsia"/>
                <w:color w:val="000000"/>
                <w:lang w:val="en-US" w:bidi="ar-SA"/>
              </w:rPr>
              <w:t>%</w:t>
            </w:r>
          </w:p>
        </w:tc>
      </w:tr>
    </w:tbl>
    <w:p w:rsidR="00C90A0F" w:rsidRPr="00C26D56" w:rsidRDefault="00C90A0F" w:rsidP="00C90A0F">
      <w:pPr>
        <w:ind w:right="640" w:firstLineChars="1350" w:firstLine="4320"/>
        <w:rPr>
          <w:sz w:val="32"/>
          <w:szCs w:val="32"/>
        </w:rPr>
      </w:pPr>
      <w:r w:rsidRPr="00C26D56">
        <w:rPr>
          <w:rFonts w:hint="eastAsia"/>
          <w:sz w:val="32"/>
          <w:szCs w:val="32"/>
        </w:rPr>
        <w:t>乌海银行股份有限公司</w:t>
      </w:r>
    </w:p>
    <w:p w:rsidR="00C90A0F" w:rsidRPr="00C90A0F" w:rsidRDefault="00C90A0F" w:rsidP="00C90A0F">
      <w:pPr>
        <w:ind w:right="640"/>
        <w:jc w:val="center"/>
        <w:rPr>
          <w:sz w:val="32"/>
          <w:szCs w:val="32"/>
        </w:rPr>
      </w:pPr>
      <w:r>
        <w:rPr>
          <w:rFonts w:hint="eastAsia"/>
          <w:sz w:val="32"/>
          <w:szCs w:val="32"/>
        </w:rPr>
        <w:t xml:space="preserve"> </w:t>
      </w:r>
      <w:r w:rsidR="00F73388">
        <w:rPr>
          <w:rFonts w:hint="eastAsia"/>
          <w:sz w:val="32"/>
          <w:szCs w:val="32"/>
        </w:rPr>
        <w:t xml:space="preserve">                          </w:t>
      </w:r>
      <w:r w:rsidR="00BC25A8" w:rsidRPr="00CE56ED">
        <w:rPr>
          <w:rFonts w:hint="eastAsia"/>
          <w:color w:val="000000" w:themeColor="text1"/>
          <w:sz w:val="32"/>
          <w:szCs w:val="32"/>
        </w:rPr>
        <w:t>2022.1.10</w:t>
      </w:r>
    </w:p>
    <w:sectPr w:rsidR="00C90A0F" w:rsidRPr="00C90A0F" w:rsidSect="001A0A7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429" w:rsidRDefault="00AE0429" w:rsidP="000B133E">
      <w:r>
        <w:separator/>
      </w:r>
    </w:p>
  </w:endnote>
  <w:endnote w:type="continuationSeparator" w:id="1">
    <w:p w:rsidR="00AE0429" w:rsidRDefault="00AE0429" w:rsidP="000B13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altName w:val="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Microsoft JhengHei">
    <w:altName w:val="Microsoft JhengHei"/>
    <w:panose1 w:val="020B0604030504040204"/>
    <w:charset w:val="88"/>
    <w:family w:val="swiss"/>
    <w:pitch w:val="variable"/>
    <w:sig w:usb0="00000087" w:usb1="288F4000" w:usb2="00000016" w:usb3="00000000" w:csb0="00100009"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429" w:rsidRDefault="00AE0429" w:rsidP="000B133E">
      <w:r>
        <w:separator/>
      </w:r>
    </w:p>
  </w:footnote>
  <w:footnote w:type="continuationSeparator" w:id="1">
    <w:p w:rsidR="00AE0429" w:rsidRDefault="00AE0429" w:rsidP="000B13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DD2AE2"/>
    <w:multiLevelType w:val="hybridMultilevel"/>
    <w:tmpl w:val="FE78CC5E"/>
    <w:lvl w:ilvl="0" w:tplc="1B62D2EA">
      <w:start w:val="2"/>
      <w:numFmt w:val="japaneseCounting"/>
      <w:lvlText w:val="%1、"/>
      <w:lvlJc w:val="left"/>
      <w:pPr>
        <w:ind w:left="720" w:hanging="72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317636C"/>
    <w:multiLevelType w:val="hybridMultilevel"/>
    <w:tmpl w:val="89761DB2"/>
    <w:lvl w:ilvl="0" w:tplc="7CB21E16">
      <w:start w:val="2"/>
      <w:numFmt w:val="japaneseCounting"/>
      <w:lvlText w:val="%1、"/>
      <w:lvlJc w:val="left"/>
      <w:pPr>
        <w:ind w:left="1720" w:hanging="720"/>
      </w:pPr>
      <w:rPr>
        <w:rFonts w:hint="default"/>
      </w:rPr>
    </w:lvl>
    <w:lvl w:ilvl="1" w:tplc="04090019" w:tentative="1">
      <w:start w:val="1"/>
      <w:numFmt w:val="lowerLetter"/>
      <w:lvlText w:val="%2)"/>
      <w:lvlJc w:val="left"/>
      <w:pPr>
        <w:ind w:left="1840" w:hanging="420"/>
      </w:pPr>
    </w:lvl>
    <w:lvl w:ilvl="2" w:tplc="0409001B" w:tentative="1">
      <w:start w:val="1"/>
      <w:numFmt w:val="lowerRoman"/>
      <w:lvlText w:val="%3."/>
      <w:lvlJc w:val="right"/>
      <w:pPr>
        <w:ind w:left="2260" w:hanging="420"/>
      </w:pPr>
    </w:lvl>
    <w:lvl w:ilvl="3" w:tplc="0409000F" w:tentative="1">
      <w:start w:val="1"/>
      <w:numFmt w:val="decimal"/>
      <w:lvlText w:val="%4."/>
      <w:lvlJc w:val="left"/>
      <w:pPr>
        <w:ind w:left="2680" w:hanging="420"/>
      </w:pPr>
    </w:lvl>
    <w:lvl w:ilvl="4" w:tplc="04090019" w:tentative="1">
      <w:start w:val="1"/>
      <w:numFmt w:val="lowerLetter"/>
      <w:lvlText w:val="%5)"/>
      <w:lvlJc w:val="left"/>
      <w:pPr>
        <w:ind w:left="3100" w:hanging="420"/>
      </w:pPr>
    </w:lvl>
    <w:lvl w:ilvl="5" w:tplc="0409001B" w:tentative="1">
      <w:start w:val="1"/>
      <w:numFmt w:val="lowerRoman"/>
      <w:lvlText w:val="%6."/>
      <w:lvlJc w:val="right"/>
      <w:pPr>
        <w:ind w:left="3520" w:hanging="420"/>
      </w:pPr>
    </w:lvl>
    <w:lvl w:ilvl="6" w:tplc="0409000F" w:tentative="1">
      <w:start w:val="1"/>
      <w:numFmt w:val="decimal"/>
      <w:lvlText w:val="%7."/>
      <w:lvlJc w:val="left"/>
      <w:pPr>
        <w:ind w:left="3940" w:hanging="420"/>
      </w:pPr>
    </w:lvl>
    <w:lvl w:ilvl="7" w:tplc="04090019" w:tentative="1">
      <w:start w:val="1"/>
      <w:numFmt w:val="lowerLetter"/>
      <w:lvlText w:val="%8)"/>
      <w:lvlJc w:val="left"/>
      <w:pPr>
        <w:ind w:left="4360" w:hanging="420"/>
      </w:pPr>
    </w:lvl>
    <w:lvl w:ilvl="8" w:tplc="0409001B" w:tentative="1">
      <w:start w:val="1"/>
      <w:numFmt w:val="lowerRoman"/>
      <w:lvlText w:val="%9."/>
      <w:lvlJc w:val="right"/>
      <w:pPr>
        <w:ind w:left="4780" w:hanging="420"/>
      </w:pPr>
    </w:lvl>
  </w:abstractNum>
  <w:abstractNum w:abstractNumId="2">
    <w:nsid w:val="55C4130E"/>
    <w:multiLevelType w:val="hybridMultilevel"/>
    <w:tmpl w:val="65FE259C"/>
    <w:lvl w:ilvl="0" w:tplc="B8BC987C">
      <w:start w:val="1"/>
      <w:numFmt w:val="decimal"/>
      <w:lvlText w:val="%1."/>
      <w:lvlJc w:val="left"/>
      <w:pPr>
        <w:ind w:left="1280" w:hanging="300"/>
      </w:pPr>
      <w:rPr>
        <w:rFonts w:hint="default"/>
      </w:rPr>
    </w:lvl>
    <w:lvl w:ilvl="1" w:tplc="04090019" w:tentative="1">
      <w:start w:val="1"/>
      <w:numFmt w:val="lowerLetter"/>
      <w:lvlText w:val="%2)"/>
      <w:lvlJc w:val="left"/>
      <w:pPr>
        <w:ind w:left="1820" w:hanging="420"/>
      </w:pPr>
    </w:lvl>
    <w:lvl w:ilvl="2" w:tplc="0409001B" w:tentative="1">
      <w:start w:val="1"/>
      <w:numFmt w:val="lowerRoman"/>
      <w:lvlText w:val="%3."/>
      <w:lvlJc w:val="right"/>
      <w:pPr>
        <w:ind w:left="2240" w:hanging="420"/>
      </w:pPr>
    </w:lvl>
    <w:lvl w:ilvl="3" w:tplc="0409000F" w:tentative="1">
      <w:start w:val="1"/>
      <w:numFmt w:val="decimal"/>
      <w:lvlText w:val="%4."/>
      <w:lvlJc w:val="left"/>
      <w:pPr>
        <w:ind w:left="2660" w:hanging="420"/>
      </w:pPr>
    </w:lvl>
    <w:lvl w:ilvl="4" w:tplc="04090019" w:tentative="1">
      <w:start w:val="1"/>
      <w:numFmt w:val="lowerLetter"/>
      <w:lvlText w:val="%5)"/>
      <w:lvlJc w:val="left"/>
      <w:pPr>
        <w:ind w:left="3080" w:hanging="420"/>
      </w:pPr>
    </w:lvl>
    <w:lvl w:ilvl="5" w:tplc="0409001B" w:tentative="1">
      <w:start w:val="1"/>
      <w:numFmt w:val="lowerRoman"/>
      <w:lvlText w:val="%6."/>
      <w:lvlJc w:val="right"/>
      <w:pPr>
        <w:ind w:left="3500" w:hanging="420"/>
      </w:pPr>
    </w:lvl>
    <w:lvl w:ilvl="6" w:tplc="0409000F" w:tentative="1">
      <w:start w:val="1"/>
      <w:numFmt w:val="decimal"/>
      <w:lvlText w:val="%7."/>
      <w:lvlJc w:val="left"/>
      <w:pPr>
        <w:ind w:left="3920" w:hanging="420"/>
      </w:pPr>
    </w:lvl>
    <w:lvl w:ilvl="7" w:tplc="04090019" w:tentative="1">
      <w:start w:val="1"/>
      <w:numFmt w:val="lowerLetter"/>
      <w:lvlText w:val="%8)"/>
      <w:lvlJc w:val="left"/>
      <w:pPr>
        <w:ind w:left="4340" w:hanging="420"/>
      </w:pPr>
    </w:lvl>
    <w:lvl w:ilvl="8" w:tplc="0409001B" w:tentative="1">
      <w:start w:val="1"/>
      <w:numFmt w:val="lowerRoman"/>
      <w:lvlText w:val="%9."/>
      <w:lvlJc w:val="right"/>
      <w:pPr>
        <w:ind w:left="4760" w:hanging="420"/>
      </w:pPr>
    </w:lvl>
  </w:abstractNum>
  <w:abstractNum w:abstractNumId="3">
    <w:nsid w:val="61596C69"/>
    <w:multiLevelType w:val="hybridMultilevel"/>
    <w:tmpl w:val="7A2418EC"/>
    <w:lvl w:ilvl="0" w:tplc="D33C2C58">
      <w:start w:val="1"/>
      <w:numFmt w:val="decimal"/>
      <w:lvlText w:val="%1、"/>
      <w:lvlJc w:val="left"/>
      <w:pPr>
        <w:ind w:left="1185" w:hanging="465"/>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
    <w:nsid w:val="79602114"/>
    <w:multiLevelType w:val="hybridMultilevel"/>
    <w:tmpl w:val="6108EA92"/>
    <w:lvl w:ilvl="0" w:tplc="68F86B72">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B133E"/>
    <w:rsid w:val="00001AF6"/>
    <w:rsid w:val="00002933"/>
    <w:rsid w:val="00013E60"/>
    <w:rsid w:val="0002628D"/>
    <w:rsid w:val="0004121D"/>
    <w:rsid w:val="000A6BBA"/>
    <w:rsid w:val="000B133E"/>
    <w:rsid w:val="000B6AA0"/>
    <w:rsid w:val="000C381F"/>
    <w:rsid w:val="000C6D7E"/>
    <w:rsid w:val="000E6514"/>
    <w:rsid w:val="000F19CF"/>
    <w:rsid w:val="00102222"/>
    <w:rsid w:val="00120D53"/>
    <w:rsid w:val="00120E10"/>
    <w:rsid w:val="0013476A"/>
    <w:rsid w:val="00147C2E"/>
    <w:rsid w:val="001820B1"/>
    <w:rsid w:val="001A0A7B"/>
    <w:rsid w:val="001C1409"/>
    <w:rsid w:val="001F3925"/>
    <w:rsid w:val="002258FC"/>
    <w:rsid w:val="00251FF7"/>
    <w:rsid w:val="00264A5F"/>
    <w:rsid w:val="00266107"/>
    <w:rsid w:val="0029003A"/>
    <w:rsid w:val="002A504D"/>
    <w:rsid w:val="002C72ED"/>
    <w:rsid w:val="002D37C8"/>
    <w:rsid w:val="002D42B1"/>
    <w:rsid w:val="002F108B"/>
    <w:rsid w:val="003059DF"/>
    <w:rsid w:val="00310492"/>
    <w:rsid w:val="00331CE2"/>
    <w:rsid w:val="003400D8"/>
    <w:rsid w:val="00362548"/>
    <w:rsid w:val="00371E38"/>
    <w:rsid w:val="003A377B"/>
    <w:rsid w:val="003B1A88"/>
    <w:rsid w:val="003C7A7C"/>
    <w:rsid w:val="00401EEB"/>
    <w:rsid w:val="00425A9B"/>
    <w:rsid w:val="00441819"/>
    <w:rsid w:val="00483E5A"/>
    <w:rsid w:val="0048443D"/>
    <w:rsid w:val="004854C2"/>
    <w:rsid w:val="004856B7"/>
    <w:rsid w:val="004D07F1"/>
    <w:rsid w:val="004E3DF2"/>
    <w:rsid w:val="0050015F"/>
    <w:rsid w:val="005177EC"/>
    <w:rsid w:val="005471DE"/>
    <w:rsid w:val="00554866"/>
    <w:rsid w:val="00574480"/>
    <w:rsid w:val="005931A1"/>
    <w:rsid w:val="005F683C"/>
    <w:rsid w:val="00604403"/>
    <w:rsid w:val="00607E50"/>
    <w:rsid w:val="006310E4"/>
    <w:rsid w:val="00653F17"/>
    <w:rsid w:val="00656C9B"/>
    <w:rsid w:val="00673A11"/>
    <w:rsid w:val="00674ADA"/>
    <w:rsid w:val="006831C4"/>
    <w:rsid w:val="006935A2"/>
    <w:rsid w:val="00717E49"/>
    <w:rsid w:val="00780F7B"/>
    <w:rsid w:val="00790E37"/>
    <w:rsid w:val="00812D23"/>
    <w:rsid w:val="00813300"/>
    <w:rsid w:val="00813547"/>
    <w:rsid w:val="00837414"/>
    <w:rsid w:val="00873F04"/>
    <w:rsid w:val="00894E5A"/>
    <w:rsid w:val="008A09CE"/>
    <w:rsid w:val="008D49B3"/>
    <w:rsid w:val="008E2EE0"/>
    <w:rsid w:val="00906DF8"/>
    <w:rsid w:val="00936E75"/>
    <w:rsid w:val="0093754A"/>
    <w:rsid w:val="00955F04"/>
    <w:rsid w:val="009924B9"/>
    <w:rsid w:val="009A29CA"/>
    <w:rsid w:val="009B7B85"/>
    <w:rsid w:val="009C20DF"/>
    <w:rsid w:val="009F0B83"/>
    <w:rsid w:val="009F6B8D"/>
    <w:rsid w:val="00A10FE9"/>
    <w:rsid w:val="00A30969"/>
    <w:rsid w:val="00A41165"/>
    <w:rsid w:val="00A62417"/>
    <w:rsid w:val="00A77D6B"/>
    <w:rsid w:val="00A84386"/>
    <w:rsid w:val="00AA1B91"/>
    <w:rsid w:val="00AE0429"/>
    <w:rsid w:val="00AE7D35"/>
    <w:rsid w:val="00B003F3"/>
    <w:rsid w:val="00B03613"/>
    <w:rsid w:val="00B06EA0"/>
    <w:rsid w:val="00B108B4"/>
    <w:rsid w:val="00B1274E"/>
    <w:rsid w:val="00B43A4E"/>
    <w:rsid w:val="00B62EC1"/>
    <w:rsid w:val="00B8264D"/>
    <w:rsid w:val="00B83DFB"/>
    <w:rsid w:val="00B907A8"/>
    <w:rsid w:val="00B95B89"/>
    <w:rsid w:val="00BB3B19"/>
    <w:rsid w:val="00BC25A8"/>
    <w:rsid w:val="00BC42F2"/>
    <w:rsid w:val="00C40DF2"/>
    <w:rsid w:val="00C55D0B"/>
    <w:rsid w:val="00C740B4"/>
    <w:rsid w:val="00C90A0F"/>
    <w:rsid w:val="00CB24A9"/>
    <w:rsid w:val="00CB3582"/>
    <w:rsid w:val="00CC0C59"/>
    <w:rsid w:val="00CE3C85"/>
    <w:rsid w:val="00D12FAC"/>
    <w:rsid w:val="00D16D9B"/>
    <w:rsid w:val="00D30694"/>
    <w:rsid w:val="00D30B86"/>
    <w:rsid w:val="00D409FD"/>
    <w:rsid w:val="00D5569E"/>
    <w:rsid w:val="00D80A1C"/>
    <w:rsid w:val="00DA53E4"/>
    <w:rsid w:val="00E27944"/>
    <w:rsid w:val="00E40F64"/>
    <w:rsid w:val="00E51586"/>
    <w:rsid w:val="00E750D5"/>
    <w:rsid w:val="00EA47C2"/>
    <w:rsid w:val="00EB04F3"/>
    <w:rsid w:val="00EB337B"/>
    <w:rsid w:val="00ED1B04"/>
    <w:rsid w:val="00ED7A6B"/>
    <w:rsid w:val="00EE5B1C"/>
    <w:rsid w:val="00F24E24"/>
    <w:rsid w:val="00F30827"/>
    <w:rsid w:val="00F42637"/>
    <w:rsid w:val="00F474BA"/>
    <w:rsid w:val="00F50E1D"/>
    <w:rsid w:val="00F5221F"/>
    <w:rsid w:val="00F60300"/>
    <w:rsid w:val="00F73388"/>
    <w:rsid w:val="00FB0FFD"/>
    <w:rsid w:val="00FC0471"/>
    <w:rsid w:val="00FC64F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B133E"/>
    <w:pPr>
      <w:widowControl w:val="0"/>
      <w:autoSpaceDE w:val="0"/>
      <w:autoSpaceDN w:val="0"/>
    </w:pPr>
    <w:rPr>
      <w:rFonts w:ascii="仿宋" w:eastAsia="仿宋" w:hAnsi="仿宋" w:cs="仿宋"/>
      <w:kern w:val="0"/>
      <w:sz w:val="22"/>
      <w:lang w:val="zh-CN" w:bidi="zh-CN"/>
    </w:rPr>
  </w:style>
  <w:style w:type="paragraph" w:styleId="1">
    <w:name w:val="heading 1"/>
    <w:basedOn w:val="a"/>
    <w:next w:val="a"/>
    <w:link w:val="1Char"/>
    <w:uiPriority w:val="9"/>
    <w:qFormat/>
    <w:rsid w:val="000B133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B13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B133E"/>
    <w:rPr>
      <w:sz w:val="18"/>
      <w:szCs w:val="18"/>
    </w:rPr>
  </w:style>
  <w:style w:type="paragraph" w:styleId="a4">
    <w:name w:val="footer"/>
    <w:basedOn w:val="a"/>
    <w:link w:val="Char0"/>
    <w:uiPriority w:val="99"/>
    <w:semiHidden/>
    <w:unhideWhenUsed/>
    <w:rsid w:val="000B133E"/>
    <w:pPr>
      <w:tabs>
        <w:tab w:val="center" w:pos="4153"/>
        <w:tab w:val="right" w:pos="8306"/>
      </w:tabs>
      <w:snapToGrid w:val="0"/>
    </w:pPr>
    <w:rPr>
      <w:sz w:val="18"/>
      <w:szCs w:val="18"/>
    </w:rPr>
  </w:style>
  <w:style w:type="character" w:customStyle="1" w:styleId="Char0">
    <w:name w:val="页脚 Char"/>
    <w:basedOn w:val="a0"/>
    <w:link w:val="a4"/>
    <w:uiPriority w:val="99"/>
    <w:semiHidden/>
    <w:rsid w:val="000B133E"/>
    <w:rPr>
      <w:sz w:val="18"/>
      <w:szCs w:val="18"/>
    </w:rPr>
  </w:style>
  <w:style w:type="character" w:customStyle="1" w:styleId="1Char">
    <w:name w:val="标题 1 Char"/>
    <w:basedOn w:val="a0"/>
    <w:link w:val="1"/>
    <w:uiPriority w:val="9"/>
    <w:rsid w:val="000B133E"/>
    <w:rPr>
      <w:rFonts w:ascii="仿宋" w:eastAsia="仿宋" w:hAnsi="仿宋" w:cs="仿宋"/>
      <w:b/>
      <w:bCs/>
      <w:kern w:val="44"/>
      <w:sz w:val="44"/>
      <w:szCs w:val="44"/>
      <w:lang w:val="zh-CN" w:bidi="zh-CN"/>
    </w:rPr>
  </w:style>
  <w:style w:type="paragraph" w:styleId="TOC">
    <w:name w:val="TOC Heading"/>
    <w:basedOn w:val="1"/>
    <w:next w:val="a"/>
    <w:uiPriority w:val="39"/>
    <w:semiHidden/>
    <w:unhideWhenUsed/>
    <w:qFormat/>
    <w:rsid w:val="000B133E"/>
    <w:pPr>
      <w:widowControl/>
      <w:autoSpaceDE/>
      <w:autoSpaceDN/>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bidi="ar-SA"/>
    </w:rPr>
  </w:style>
  <w:style w:type="paragraph" w:styleId="2">
    <w:name w:val="toc 2"/>
    <w:basedOn w:val="a"/>
    <w:next w:val="a"/>
    <w:autoRedefine/>
    <w:uiPriority w:val="39"/>
    <w:semiHidden/>
    <w:unhideWhenUsed/>
    <w:qFormat/>
    <w:rsid w:val="000B133E"/>
    <w:pPr>
      <w:widowControl/>
      <w:autoSpaceDE/>
      <w:autoSpaceDN/>
      <w:spacing w:after="100" w:line="276" w:lineRule="auto"/>
      <w:ind w:left="220"/>
    </w:pPr>
    <w:rPr>
      <w:rFonts w:asciiTheme="minorHAnsi" w:eastAsiaTheme="minorEastAsia" w:hAnsiTheme="minorHAnsi" w:cstheme="minorBidi"/>
      <w:lang w:val="en-US" w:bidi="ar-SA"/>
    </w:rPr>
  </w:style>
  <w:style w:type="paragraph" w:styleId="10">
    <w:name w:val="toc 1"/>
    <w:basedOn w:val="a"/>
    <w:next w:val="a"/>
    <w:autoRedefine/>
    <w:uiPriority w:val="39"/>
    <w:semiHidden/>
    <w:unhideWhenUsed/>
    <w:qFormat/>
    <w:rsid w:val="000B133E"/>
    <w:pPr>
      <w:widowControl/>
      <w:autoSpaceDE/>
      <w:autoSpaceDN/>
      <w:spacing w:after="100" w:line="276" w:lineRule="auto"/>
    </w:pPr>
    <w:rPr>
      <w:rFonts w:asciiTheme="minorHAnsi" w:eastAsiaTheme="minorEastAsia" w:hAnsiTheme="minorHAnsi" w:cstheme="minorBidi"/>
      <w:lang w:val="en-US" w:bidi="ar-SA"/>
    </w:rPr>
  </w:style>
  <w:style w:type="paragraph" w:styleId="a5">
    <w:name w:val="List Paragraph"/>
    <w:basedOn w:val="a"/>
    <w:uiPriority w:val="1"/>
    <w:qFormat/>
    <w:rsid w:val="000B133E"/>
    <w:pPr>
      <w:spacing w:before="2"/>
      <w:ind w:left="2442" w:hanging="802"/>
    </w:pPr>
    <w:rPr>
      <w:rFonts w:ascii="宋体" w:eastAsia="宋体" w:hAnsi="宋体" w:cs="宋体"/>
    </w:rPr>
  </w:style>
  <w:style w:type="paragraph" w:styleId="a6">
    <w:name w:val="Balloon Text"/>
    <w:basedOn w:val="a"/>
    <w:link w:val="Char1"/>
    <w:uiPriority w:val="99"/>
    <w:semiHidden/>
    <w:unhideWhenUsed/>
    <w:rsid w:val="00EB04F3"/>
    <w:rPr>
      <w:sz w:val="18"/>
      <w:szCs w:val="18"/>
    </w:rPr>
  </w:style>
  <w:style w:type="character" w:customStyle="1" w:styleId="Char1">
    <w:name w:val="批注框文本 Char"/>
    <w:basedOn w:val="a0"/>
    <w:link w:val="a6"/>
    <w:uiPriority w:val="99"/>
    <w:semiHidden/>
    <w:rsid w:val="00EB04F3"/>
    <w:rPr>
      <w:rFonts w:ascii="仿宋" w:eastAsia="仿宋" w:hAnsi="仿宋" w:cs="仿宋"/>
      <w:kern w:val="0"/>
      <w:sz w:val="18"/>
      <w:szCs w:val="18"/>
      <w:lang w:val="zh-CN" w:bidi="zh-CN"/>
    </w:rPr>
  </w:style>
  <w:style w:type="paragraph" w:styleId="a7">
    <w:name w:val="Body Text"/>
    <w:basedOn w:val="a"/>
    <w:link w:val="Char2"/>
    <w:uiPriority w:val="1"/>
    <w:qFormat/>
    <w:rsid w:val="009A29CA"/>
    <w:pPr>
      <w:ind w:left="1000"/>
    </w:pPr>
    <w:rPr>
      <w:sz w:val="32"/>
      <w:szCs w:val="32"/>
    </w:rPr>
  </w:style>
  <w:style w:type="character" w:customStyle="1" w:styleId="Char2">
    <w:name w:val="正文文本 Char"/>
    <w:basedOn w:val="a0"/>
    <w:link w:val="a7"/>
    <w:uiPriority w:val="1"/>
    <w:rsid w:val="009A29CA"/>
    <w:rPr>
      <w:rFonts w:ascii="仿宋" w:eastAsia="仿宋" w:hAnsi="仿宋" w:cs="仿宋"/>
      <w:kern w:val="0"/>
      <w:sz w:val="32"/>
      <w:szCs w:val="32"/>
      <w:lang w:val="zh-CN" w:bidi="zh-CN"/>
    </w:rPr>
  </w:style>
  <w:style w:type="table" w:customStyle="1" w:styleId="TableNormal">
    <w:name w:val="Table Normal"/>
    <w:uiPriority w:val="2"/>
    <w:semiHidden/>
    <w:unhideWhenUsed/>
    <w:qFormat/>
    <w:rsid w:val="00B003F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003F3"/>
    <w:pPr>
      <w:ind w:left="166"/>
      <w:jc w:val="center"/>
    </w:pPr>
    <w:rPr>
      <w:rFonts w:ascii="宋体" w:eastAsia="宋体" w:hAnsi="宋体" w:cs="宋体"/>
    </w:rPr>
  </w:style>
</w:styles>
</file>

<file path=word/webSettings.xml><?xml version="1.0" encoding="utf-8"?>
<w:webSettings xmlns:r="http://schemas.openxmlformats.org/officeDocument/2006/relationships" xmlns:w="http://schemas.openxmlformats.org/wordprocessingml/2006/main">
  <w:divs>
    <w:div w:id="229661385">
      <w:bodyDiv w:val="1"/>
      <w:marLeft w:val="0"/>
      <w:marRight w:val="0"/>
      <w:marTop w:val="0"/>
      <w:marBottom w:val="0"/>
      <w:divBdr>
        <w:top w:val="none" w:sz="0" w:space="0" w:color="auto"/>
        <w:left w:val="none" w:sz="0" w:space="0" w:color="auto"/>
        <w:bottom w:val="none" w:sz="0" w:space="0" w:color="auto"/>
        <w:right w:val="none" w:sz="0" w:space="0" w:color="auto"/>
      </w:divBdr>
    </w:div>
    <w:div w:id="658651845">
      <w:bodyDiv w:val="1"/>
      <w:marLeft w:val="0"/>
      <w:marRight w:val="0"/>
      <w:marTop w:val="0"/>
      <w:marBottom w:val="0"/>
      <w:divBdr>
        <w:top w:val="none" w:sz="0" w:space="0" w:color="auto"/>
        <w:left w:val="none" w:sz="0" w:space="0" w:color="auto"/>
        <w:bottom w:val="none" w:sz="0" w:space="0" w:color="auto"/>
        <w:right w:val="none" w:sz="0" w:space="0" w:color="auto"/>
      </w:divBdr>
    </w:div>
    <w:div w:id="75139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inawealth.com.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320</Words>
  <Characters>1825</Characters>
  <Application>Microsoft Office Word</Application>
  <DocSecurity>0</DocSecurity>
  <Lines>15</Lines>
  <Paragraphs>4</Paragraphs>
  <ScaleCrop>false</ScaleCrop>
  <Company>china</Company>
  <LinksUpToDate>false</LinksUpToDate>
  <CharactersWithSpaces>2141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china</cp:lastModifiedBy>
  <cp:revision>2</cp:revision>
  <dcterms:created xsi:type="dcterms:W3CDTF">2022-02-10T03:23:00Z</dcterms:created>
  <dcterms:modified xsi:type="dcterms:W3CDTF">2022-02-10T03:23:00Z</dcterms:modified>
</cp:coreProperties>
</file>