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w:t>
      </w:r>
      <w:r w:rsidR="00E46453">
        <w:rPr>
          <w:rFonts w:hint="eastAsia"/>
          <w:b/>
          <w:sz w:val="36"/>
          <w:szCs w:val="36"/>
        </w:rPr>
        <w:t>2022</w:t>
      </w:r>
      <w:r w:rsidRPr="00C26D56">
        <w:rPr>
          <w:rFonts w:hint="eastAsia"/>
          <w:b/>
          <w:sz w:val="36"/>
          <w:szCs w:val="36"/>
        </w:rPr>
        <w:t>年</w:t>
      </w:r>
      <w:r w:rsidR="000030AB">
        <w:rPr>
          <w:rFonts w:hint="eastAsia"/>
          <w:b/>
          <w:sz w:val="36"/>
          <w:szCs w:val="36"/>
        </w:rPr>
        <w:t>第</w:t>
      </w:r>
      <w:r w:rsidR="00870687">
        <w:rPr>
          <w:rFonts w:hint="eastAsia"/>
          <w:b/>
          <w:sz w:val="36"/>
          <w:szCs w:val="36"/>
        </w:rPr>
        <w:t>59</w:t>
      </w:r>
      <w:r w:rsidR="000030AB">
        <w:rPr>
          <w:rFonts w:hint="eastAsia"/>
          <w:b/>
          <w:sz w:val="36"/>
          <w:szCs w:val="36"/>
        </w:rPr>
        <w:t>期</w:t>
      </w:r>
      <w:r w:rsidRPr="00C26D56">
        <w:rPr>
          <w:rFonts w:hint="eastAsia"/>
          <w:b/>
          <w:sz w:val="36"/>
          <w:szCs w:val="36"/>
        </w:rPr>
        <w:t>”封闭式净值型理财产品</w:t>
      </w:r>
      <w:r w:rsidR="000060E3">
        <w:rPr>
          <w:rFonts w:hint="eastAsia"/>
          <w:b/>
          <w:sz w:val="36"/>
          <w:szCs w:val="36"/>
        </w:rPr>
        <w:t>2022</w:t>
      </w:r>
      <w:r w:rsidR="000060E3" w:rsidRPr="00C26D56">
        <w:rPr>
          <w:rFonts w:hint="eastAsia"/>
          <w:b/>
          <w:sz w:val="36"/>
          <w:szCs w:val="36"/>
        </w:rPr>
        <w:t>年</w:t>
      </w:r>
      <w:r w:rsidR="000060E3">
        <w:rPr>
          <w:rFonts w:hint="eastAsia"/>
          <w:b/>
          <w:sz w:val="36"/>
          <w:szCs w:val="36"/>
        </w:rPr>
        <w:t>第</w:t>
      </w:r>
      <w:r w:rsidR="00186293">
        <w:rPr>
          <w:rFonts w:hint="eastAsia"/>
          <w:b/>
          <w:sz w:val="36"/>
          <w:szCs w:val="36"/>
        </w:rPr>
        <w:t>二</w:t>
      </w:r>
      <w:r w:rsidR="000060E3">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E46453">
            <w:pPr>
              <w:widowControl/>
              <w:autoSpaceDE/>
              <w:autoSpaceDN/>
              <w:rPr>
                <w:rFonts w:cs="宋体"/>
                <w:color w:val="000000"/>
                <w:sz w:val="24"/>
                <w:szCs w:val="24"/>
                <w:lang w:val="en-US" w:bidi="ar-SA"/>
              </w:rPr>
            </w:pPr>
            <w:r w:rsidRPr="00CE3C85">
              <w:rPr>
                <w:rFonts w:cs="宋体" w:hint="eastAsia"/>
                <w:color w:val="000000"/>
                <w:sz w:val="24"/>
                <w:szCs w:val="24"/>
                <w:lang w:val="en-US" w:bidi="ar-SA"/>
              </w:rPr>
              <w:t>乌银利鑫系列</w:t>
            </w:r>
            <w:r w:rsidR="00E46453">
              <w:rPr>
                <w:rFonts w:cs="宋体"/>
                <w:color w:val="000000"/>
                <w:sz w:val="24"/>
                <w:szCs w:val="24"/>
                <w:lang w:val="en-US" w:bidi="ar-SA"/>
              </w:rPr>
              <w:t>202</w:t>
            </w:r>
            <w:r w:rsidR="00E46453">
              <w:rPr>
                <w:rFonts w:cs="宋体" w:hint="eastAsia"/>
                <w:color w:val="000000"/>
                <w:sz w:val="24"/>
                <w:szCs w:val="24"/>
                <w:lang w:val="en-US" w:bidi="ar-SA"/>
              </w:rPr>
              <w:t>2</w:t>
            </w:r>
            <w:r w:rsidRPr="00CE3C85">
              <w:rPr>
                <w:rFonts w:cs="宋体"/>
                <w:color w:val="000000"/>
                <w:sz w:val="24"/>
                <w:szCs w:val="24"/>
                <w:lang w:val="en-US" w:bidi="ar-SA"/>
              </w:rPr>
              <w:t>年</w:t>
            </w:r>
            <w:r w:rsidR="000030AB">
              <w:rPr>
                <w:rFonts w:cs="宋体"/>
                <w:color w:val="000000"/>
                <w:sz w:val="24"/>
                <w:szCs w:val="24"/>
                <w:lang w:val="en-US" w:bidi="ar-SA"/>
              </w:rPr>
              <w:t>第</w:t>
            </w:r>
            <w:r w:rsidR="00870687">
              <w:rPr>
                <w:rFonts w:cs="宋体" w:hint="eastAsia"/>
                <w:color w:val="000000"/>
                <w:sz w:val="24"/>
                <w:szCs w:val="24"/>
                <w:lang w:val="en-US" w:bidi="ar-SA"/>
              </w:rPr>
              <w:t>59</w:t>
            </w:r>
            <w:r w:rsidR="000030AB">
              <w:rPr>
                <w:rFonts w:cs="宋体"/>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683AA2">
            <w:pPr>
              <w:widowControl/>
              <w:autoSpaceDE/>
              <w:autoSpaceDN/>
              <w:rPr>
                <w:rFonts w:cs="宋体"/>
                <w:color w:val="000000"/>
                <w:sz w:val="24"/>
                <w:szCs w:val="24"/>
                <w:lang w:val="en-US" w:bidi="ar-SA"/>
              </w:rPr>
            </w:pPr>
            <w:r w:rsidRPr="000C381F">
              <w:rPr>
                <w:sz w:val="24"/>
                <w:szCs w:val="24"/>
              </w:rPr>
              <w:t>LX202</w:t>
            </w:r>
            <w:r w:rsidR="007424BF">
              <w:rPr>
                <w:rFonts w:hint="eastAsia"/>
                <w:sz w:val="24"/>
                <w:szCs w:val="24"/>
              </w:rPr>
              <w:t>20</w:t>
            </w:r>
            <w:r w:rsidR="00A00ECA">
              <w:rPr>
                <w:rFonts w:hint="eastAsia"/>
                <w:sz w:val="24"/>
                <w:szCs w:val="24"/>
              </w:rPr>
              <w:t>5</w:t>
            </w:r>
            <w:r w:rsidR="00870687">
              <w:rPr>
                <w:rFonts w:hint="eastAsia"/>
                <w:sz w:val="24"/>
                <w:szCs w:val="24"/>
              </w:rPr>
              <w:t>9</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E46453" w:rsidP="00E46453">
            <w:pPr>
              <w:widowControl/>
              <w:autoSpaceDE/>
              <w:autoSpaceDN/>
              <w:rPr>
                <w:rFonts w:cs="宋体"/>
                <w:color w:val="000000"/>
                <w:sz w:val="24"/>
                <w:szCs w:val="24"/>
                <w:lang w:val="en-US" w:bidi="ar-SA"/>
              </w:rPr>
            </w:pPr>
            <w:r>
              <w:rPr>
                <w:sz w:val="24"/>
                <w:szCs w:val="24"/>
              </w:rPr>
              <w:t>C108772</w:t>
            </w:r>
            <w:r>
              <w:rPr>
                <w:rFonts w:hint="eastAsia"/>
                <w:sz w:val="24"/>
                <w:szCs w:val="24"/>
              </w:rPr>
              <w:t>2</w:t>
            </w:r>
            <w:r w:rsidR="00F5221F" w:rsidRPr="00F5221F">
              <w:rPr>
                <w:sz w:val="24"/>
                <w:szCs w:val="24"/>
              </w:rPr>
              <w:t>000</w:t>
            </w:r>
            <w:r w:rsidR="007424BF">
              <w:rPr>
                <w:rFonts w:hint="eastAsia"/>
                <w:sz w:val="24"/>
                <w:szCs w:val="24"/>
              </w:rPr>
              <w:t>0</w:t>
            </w:r>
            <w:r w:rsidR="0052311A">
              <w:rPr>
                <w:rFonts w:hint="eastAsia"/>
                <w:sz w:val="24"/>
                <w:szCs w:val="24"/>
              </w:rPr>
              <w:t>5</w:t>
            </w:r>
            <w:r w:rsidR="00870687">
              <w:rPr>
                <w:rFonts w:hint="eastAsia"/>
                <w:sz w:val="24"/>
                <w:szCs w:val="24"/>
              </w:rPr>
              <w:t>6</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870687" w:rsidP="00737152">
            <w:pPr>
              <w:widowControl/>
              <w:autoSpaceDE/>
              <w:autoSpaceDN/>
              <w:rPr>
                <w:rFonts w:cs="宋体"/>
                <w:color w:val="000000"/>
                <w:sz w:val="24"/>
                <w:szCs w:val="24"/>
                <w:lang w:val="en-US" w:bidi="ar-SA"/>
              </w:rPr>
            </w:pPr>
            <w:r>
              <w:rPr>
                <w:rFonts w:hint="eastAsia"/>
                <w:sz w:val="24"/>
                <w:szCs w:val="24"/>
              </w:rPr>
              <w:t>2</w:t>
            </w:r>
            <w:r w:rsidR="00FB1CD9">
              <w:rPr>
                <w:rFonts w:hint="eastAsia"/>
                <w:sz w:val="24"/>
                <w:szCs w:val="24"/>
              </w:rPr>
              <w:t>000</w:t>
            </w:r>
            <w:r w:rsidR="00F30827" w:rsidRPr="006838E1">
              <w:rPr>
                <w:sz w:val="24"/>
                <w:szCs w:val="24"/>
              </w:rPr>
              <w:t>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E46453" w:rsidP="000030AB">
            <w:pPr>
              <w:widowControl/>
              <w:autoSpaceDE/>
              <w:autoSpaceDN/>
              <w:rPr>
                <w:rFonts w:cs="宋体"/>
                <w:color w:val="000000"/>
                <w:sz w:val="24"/>
                <w:szCs w:val="24"/>
                <w:lang w:val="en-US" w:bidi="ar-SA"/>
              </w:rPr>
            </w:pPr>
            <w:r>
              <w:rPr>
                <w:rFonts w:cs="宋体" w:hint="eastAsia"/>
                <w:color w:val="000000"/>
                <w:sz w:val="24"/>
                <w:szCs w:val="24"/>
                <w:lang w:val="en-US" w:bidi="ar-SA"/>
              </w:rPr>
              <w:t>2022</w:t>
            </w:r>
            <w:r w:rsidR="00B03613" w:rsidRPr="00B03613">
              <w:rPr>
                <w:rFonts w:cs="宋体" w:hint="eastAsia"/>
                <w:color w:val="000000"/>
                <w:sz w:val="24"/>
                <w:szCs w:val="24"/>
                <w:lang w:val="en-US" w:bidi="ar-SA"/>
              </w:rPr>
              <w:t>年</w:t>
            </w:r>
            <w:r w:rsidR="00425A9B">
              <w:rPr>
                <w:rFonts w:cs="宋体" w:hint="eastAsia"/>
                <w:color w:val="000000"/>
                <w:sz w:val="24"/>
                <w:szCs w:val="24"/>
                <w:lang w:val="en-US" w:bidi="ar-SA"/>
              </w:rPr>
              <w:t xml:space="preserve"> </w:t>
            </w:r>
            <w:r w:rsidR="00870687">
              <w:rPr>
                <w:rFonts w:hint="eastAsia"/>
                <w:sz w:val="24"/>
                <w:szCs w:val="24"/>
              </w:rPr>
              <w:t>6</w:t>
            </w:r>
            <w:r w:rsidR="00683AA2">
              <w:rPr>
                <w:rFonts w:hint="eastAsia"/>
                <w:sz w:val="24"/>
                <w:szCs w:val="24"/>
              </w:rPr>
              <w:t xml:space="preserve"> </w:t>
            </w:r>
            <w:r w:rsidR="00683AA2" w:rsidRPr="006838E1">
              <w:rPr>
                <w:sz w:val="24"/>
                <w:szCs w:val="24"/>
              </w:rPr>
              <w:t xml:space="preserve">月 </w:t>
            </w:r>
            <w:r w:rsidR="00870687">
              <w:rPr>
                <w:rFonts w:hint="eastAsia"/>
                <w:sz w:val="24"/>
                <w:szCs w:val="24"/>
              </w:rPr>
              <w:t>1</w:t>
            </w:r>
            <w:r w:rsidR="00683AA2">
              <w:rPr>
                <w:rFonts w:hint="eastAsia"/>
                <w:sz w:val="24"/>
                <w:szCs w:val="24"/>
              </w:rPr>
              <w:t xml:space="preserve"> </w:t>
            </w:r>
            <w:r w:rsidR="00683AA2"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EB1468" w:rsidP="008C2886">
            <w:pPr>
              <w:widowControl/>
              <w:autoSpaceDE/>
              <w:autoSpaceDN/>
              <w:rPr>
                <w:rFonts w:cs="宋体"/>
                <w:color w:val="000000"/>
                <w:sz w:val="24"/>
                <w:szCs w:val="24"/>
                <w:lang w:val="en-US" w:bidi="ar-SA"/>
              </w:rPr>
            </w:pPr>
            <w:r>
              <w:rPr>
                <w:rFonts w:cs="宋体" w:hint="eastAsia"/>
                <w:color w:val="000000"/>
                <w:sz w:val="24"/>
                <w:szCs w:val="24"/>
                <w:lang w:val="en-US" w:bidi="ar-SA"/>
              </w:rPr>
              <w:t>2022</w:t>
            </w:r>
            <w:r w:rsidR="00B03613" w:rsidRPr="00B03613">
              <w:rPr>
                <w:rFonts w:cs="宋体" w:hint="eastAsia"/>
                <w:color w:val="000000"/>
                <w:sz w:val="24"/>
                <w:szCs w:val="24"/>
                <w:lang w:val="en-US" w:bidi="ar-SA"/>
              </w:rPr>
              <w:t>年</w:t>
            </w:r>
            <w:r w:rsidR="00002933">
              <w:rPr>
                <w:rFonts w:cs="宋体" w:hint="eastAsia"/>
                <w:color w:val="000000"/>
                <w:sz w:val="24"/>
                <w:szCs w:val="24"/>
                <w:lang w:val="en-US" w:bidi="ar-SA"/>
              </w:rPr>
              <w:t xml:space="preserve"> </w:t>
            </w:r>
            <w:r>
              <w:rPr>
                <w:rFonts w:hint="eastAsia"/>
                <w:sz w:val="24"/>
                <w:szCs w:val="24"/>
              </w:rPr>
              <w:t>9</w:t>
            </w:r>
            <w:r w:rsidR="00FB1CD9">
              <w:rPr>
                <w:rFonts w:hint="eastAsia"/>
                <w:sz w:val="24"/>
                <w:szCs w:val="24"/>
              </w:rPr>
              <w:t xml:space="preserve"> </w:t>
            </w:r>
            <w:r w:rsidR="00F30827" w:rsidRPr="006838E1">
              <w:rPr>
                <w:sz w:val="24"/>
                <w:szCs w:val="24"/>
              </w:rPr>
              <w:t xml:space="preserve">月 </w:t>
            </w:r>
            <w:r w:rsidR="00870687">
              <w:rPr>
                <w:rFonts w:hint="eastAsia"/>
                <w:sz w:val="24"/>
                <w:szCs w:val="24"/>
              </w:rPr>
              <w:t>14</w:t>
            </w:r>
            <w:r w:rsidR="008C2886">
              <w:rPr>
                <w:rFonts w:hint="eastAsia"/>
                <w:sz w:val="24"/>
                <w:szCs w:val="24"/>
              </w:rPr>
              <w:t xml:space="preserve"> </w:t>
            </w:r>
            <w:r w:rsidR="00F30827"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5641DC" w:rsidP="00C80406">
            <w:pPr>
              <w:widowControl/>
              <w:autoSpaceDE/>
              <w:autoSpaceDN/>
              <w:rPr>
                <w:rFonts w:cs="宋体"/>
                <w:color w:val="000000"/>
                <w:sz w:val="24"/>
                <w:szCs w:val="24"/>
                <w:lang w:val="en-US" w:bidi="ar-SA"/>
              </w:rPr>
            </w:pPr>
            <w:r>
              <w:rPr>
                <w:rFonts w:cs="宋体" w:hint="eastAsia"/>
                <w:color w:val="000000"/>
                <w:sz w:val="24"/>
                <w:szCs w:val="24"/>
                <w:lang w:val="en-US" w:bidi="ar-SA"/>
              </w:rPr>
              <w:t>3.</w:t>
            </w:r>
            <w:r w:rsidR="00EB1468">
              <w:rPr>
                <w:rFonts w:cs="宋体" w:hint="eastAsia"/>
                <w:color w:val="000000"/>
                <w:sz w:val="24"/>
                <w:szCs w:val="24"/>
                <w:lang w:val="en-US" w:bidi="ar-SA"/>
              </w:rPr>
              <w:t>55</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13476A">
        <w:rPr>
          <w:rFonts w:asciiTheme="minorEastAsia" w:eastAsiaTheme="minorEastAsia" w:hAnsiTheme="minorEastAsia" w:hint="eastAsia"/>
          <w:sz w:val="28"/>
          <w:szCs w:val="28"/>
        </w:rPr>
        <w:t>3.</w:t>
      </w:r>
      <w:r w:rsidR="00EB1468">
        <w:rPr>
          <w:rFonts w:asciiTheme="minorEastAsia" w:eastAsiaTheme="minorEastAsia" w:hAnsiTheme="minorEastAsia" w:hint="eastAsia"/>
          <w:sz w:val="28"/>
          <w:szCs w:val="28"/>
        </w:rPr>
        <w:t>55</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F6B8D">
        <w:trPr>
          <w:trHeight w:val="493"/>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186293" w:rsidP="009A29CA">
            <w:pPr>
              <w:widowControl/>
              <w:autoSpaceDE/>
              <w:autoSpaceDN/>
              <w:jc w:val="center"/>
              <w:rPr>
                <w:rFonts w:ascii="宋体" w:eastAsia="宋体" w:hAnsi="宋体" w:cs="宋体"/>
                <w:color w:val="000000"/>
                <w:lang w:val="en-US" w:bidi="ar-SA"/>
              </w:rPr>
            </w:pPr>
            <w:r w:rsidRPr="004624BF">
              <w:rPr>
                <w:rFonts w:ascii="宋体" w:eastAsia="宋体" w:hAnsi="宋体" w:cs="宋体"/>
                <w:color w:val="000000" w:themeColor="text1"/>
                <w:lang w:val="en-US" w:bidi="ar-SA"/>
              </w:rPr>
              <w:t>202</w:t>
            </w:r>
            <w:r w:rsidRPr="004624BF">
              <w:rPr>
                <w:rFonts w:ascii="宋体" w:eastAsia="宋体" w:hAnsi="宋体" w:cs="宋体" w:hint="eastAsia"/>
                <w:color w:val="000000" w:themeColor="text1"/>
                <w:lang w:val="en-US" w:bidi="ar-SA"/>
              </w:rPr>
              <w:t>2</w:t>
            </w:r>
            <w:r w:rsidRPr="004624BF">
              <w:rPr>
                <w:rFonts w:ascii="宋体" w:eastAsia="宋体" w:hAnsi="宋体" w:cs="宋体"/>
                <w:color w:val="000000" w:themeColor="text1"/>
                <w:lang w:val="en-US" w:bidi="ar-SA"/>
              </w:rPr>
              <w:t>-</w:t>
            </w:r>
            <w:r>
              <w:rPr>
                <w:rFonts w:ascii="宋体" w:eastAsia="宋体" w:hAnsi="宋体" w:cs="宋体" w:hint="eastAsia"/>
                <w:color w:val="000000" w:themeColor="text1"/>
                <w:lang w:val="en-US" w:bidi="ar-SA"/>
              </w:rPr>
              <w:t>6</w:t>
            </w:r>
            <w:r w:rsidRPr="004624BF">
              <w:rPr>
                <w:rFonts w:ascii="宋体" w:eastAsia="宋体" w:hAnsi="宋体" w:cs="宋体"/>
                <w:color w:val="000000" w:themeColor="text1"/>
                <w:lang w:val="en-US" w:bidi="ar-SA"/>
              </w:rPr>
              <w:t>-3</w:t>
            </w:r>
            <w:r>
              <w:rPr>
                <w:rFonts w:ascii="宋体" w:eastAsia="宋体" w:hAnsi="宋体" w:cs="宋体" w:hint="eastAsia"/>
                <w:color w:val="000000" w:themeColor="text1"/>
                <w:lang w:val="en-US" w:bidi="ar-SA"/>
              </w:rPr>
              <w:t>0</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870687" w:rsidP="00CC0C59">
            <w:pPr>
              <w:widowControl/>
              <w:autoSpaceDE/>
              <w:autoSpaceDN/>
              <w:jc w:val="center"/>
              <w:rPr>
                <w:rFonts w:ascii="宋体" w:eastAsia="宋体" w:hAnsi="宋体" w:cs="宋体"/>
                <w:color w:val="000000"/>
                <w:lang w:val="en-US" w:bidi="ar-SA"/>
              </w:rPr>
            </w:pPr>
            <w:r w:rsidRPr="00870687">
              <w:rPr>
                <w:rFonts w:ascii="宋体" w:eastAsia="宋体" w:hAnsi="宋体" w:cs="宋体"/>
                <w:color w:val="000000"/>
                <w:lang w:val="en-US" w:bidi="ar-SA"/>
              </w:rPr>
              <w:t>1.0029</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870687" w:rsidP="00CC0C59">
            <w:pPr>
              <w:widowControl/>
              <w:autoSpaceDE/>
              <w:autoSpaceDN/>
              <w:jc w:val="center"/>
              <w:rPr>
                <w:rFonts w:ascii="宋体" w:eastAsia="宋体" w:hAnsi="宋体" w:cs="宋体"/>
                <w:color w:val="000000"/>
                <w:lang w:val="en-US" w:bidi="ar-SA"/>
              </w:rPr>
            </w:pPr>
            <w:r w:rsidRPr="00870687">
              <w:rPr>
                <w:rFonts w:ascii="宋体" w:eastAsia="宋体" w:hAnsi="宋体" w:cs="宋体"/>
                <w:color w:val="000000"/>
                <w:lang w:val="en-US" w:bidi="ar-SA"/>
              </w:rPr>
              <w:t>1.0029</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186293" w:rsidRDefault="00A41165" w:rsidP="00186293">
      <w:pPr>
        <w:spacing w:line="492" w:lineRule="exact"/>
        <w:ind w:firstLineChars="200" w:firstLine="560"/>
        <w:rPr>
          <w:rFonts w:asciiTheme="minorEastAsia" w:eastAsiaTheme="minorEastAsia" w:hAnsiTheme="minorEastAsia"/>
          <w:color w:val="000000" w:themeColor="text1"/>
          <w:sz w:val="28"/>
          <w:szCs w:val="28"/>
        </w:rPr>
      </w:pPr>
      <w:r w:rsidRPr="004123E4">
        <w:rPr>
          <w:rFonts w:asciiTheme="minorEastAsia" w:eastAsiaTheme="minorEastAsia" w:hAnsiTheme="minorEastAsia" w:hint="eastAsia"/>
          <w:color w:val="000000" w:themeColor="text1"/>
          <w:sz w:val="28"/>
          <w:szCs w:val="28"/>
          <w:lang w:val="en-US"/>
        </w:rPr>
        <w:t>1、</w:t>
      </w:r>
      <w:r w:rsidR="00186293" w:rsidRPr="003A0EEA">
        <w:rPr>
          <w:rFonts w:asciiTheme="minorEastAsia" w:eastAsiaTheme="minorEastAsia" w:hAnsiTheme="minorEastAsia" w:hint="eastAsia"/>
          <w:color w:val="000000" w:themeColor="text1"/>
          <w:sz w:val="28"/>
          <w:szCs w:val="28"/>
          <w:lang w:val="en-US"/>
        </w:rPr>
        <w:t>2022</w:t>
      </w:r>
      <w:r w:rsidR="00186293" w:rsidRPr="003A0EEA">
        <w:rPr>
          <w:rFonts w:asciiTheme="minorEastAsia" w:eastAsiaTheme="minorEastAsia" w:hAnsiTheme="minorEastAsia"/>
          <w:color w:val="000000" w:themeColor="text1"/>
          <w:sz w:val="28"/>
          <w:szCs w:val="28"/>
          <w:lang w:val="en-US"/>
        </w:rPr>
        <w:t>年</w:t>
      </w:r>
      <w:r w:rsidR="00186293">
        <w:rPr>
          <w:rFonts w:asciiTheme="minorEastAsia" w:eastAsiaTheme="minorEastAsia" w:hAnsiTheme="minorEastAsia" w:hint="eastAsia"/>
          <w:color w:val="000000" w:themeColor="text1"/>
          <w:sz w:val="28"/>
          <w:szCs w:val="28"/>
          <w:lang w:val="en-US"/>
        </w:rPr>
        <w:t>二</w:t>
      </w:r>
      <w:r w:rsidR="00186293" w:rsidRPr="003A0EEA">
        <w:rPr>
          <w:rFonts w:asciiTheme="minorEastAsia" w:eastAsiaTheme="minorEastAsia" w:hAnsiTheme="minorEastAsia"/>
          <w:color w:val="000000" w:themeColor="text1"/>
          <w:sz w:val="28"/>
          <w:szCs w:val="28"/>
          <w:lang w:val="en-US"/>
        </w:rPr>
        <w:t>季度经济背</w:t>
      </w:r>
      <w:r w:rsidR="00186293" w:rsidRPr="003A0EEA">
        <w:rPr>
          <w:rFonts w:asciiTheme="minorEastAsia" w:eastAsiaTheme="minorEastAsia" w:hAnsiTheme="minorEastAsia"/>
          <w:color w:val="000000" w:themeColor="text1"/>
          <w:sz w:val="28"/>
          <w:szCs w:val="28"/>
        </w:rPr>
        <w:t>景</w:t>
      </w:r>
    </w:p>
    <w:p w:rsidR="00186293" w:rsidRDefault="00186293" w:rsidP="00186293">
      <w:pPr>
        <w:spacing w:line="492"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2022年上半年国内生产总值同比增长2.5%，其中二季度同比增长0.4%，顶住压力实现正增长，在全球高通胀背景下保持了物价形势的稳定。</w:t>
      </w:r>
      <w:r w:rsidRPr="003A0EEA">
        <w:rPr>
          <w:rFonts w:asciiTheme="minorEastAsia" w:eastAsiaTheme="minorEastAsia" w:hAnsiTheme="minorEastAsia"/>
          <w:color w:val="000000" w:themeColor="text1"/>
          <w:sz w:val="28"/>
          <w:szCs w:val="28"/>
        </w:rPr>
        <w:t>202</w:t>
      </w:r>
      <w:r w:rsidRPr="003A0EEA">
        <w:rPr>
          <w:rFonts w:asciiTheme="minorEastAsia" w:eastAsiaTheme="minorEastAsia" w:hAnsiTheme="minorEastAsia" w:hint="eastAsia"/>
          <w:color w:val="000000" w:themeColor="text1"/>
          <w:sz w:val="28"/>
          <w:szCs w:val="28"/>
        </w:rPr>
        <w:t>2</w:t>
      </w:r>
      <w:r w:rsidRPr="003A0EEA">
        <w:rPr>
          <w:rFonts w:asciiTheme="minorEastAsia" w:eastAsiaTheme="minorEastAsia" w:hAnsiTheme="minorEastAsia"/>
          <w:color w:val="000000" w:themeColor="text1"/>
          <w:sz w:val="28"/>
          <w:szCs w:val="28"/>
        </w:rPr>
        <w:t>年</w:t>
      </w:r>
      <w:r>
        <w:rPr>
          <w:rFonts w:asciiTheme="minorEastAsia" w:eastAsiaTheme="minorEastAsia" w:hAnsiTheme="minorEastAsia" w:hint="eastAsia"/>
          <w:color w:val="000000" w:themeColor="text1"/>
          <w:sz w:val="28"/>
          <w:szCs w:val="28"/>
        </w:rPr>
        <w:t>当前全球经济增长放缓，通胀高位运行，地缘政治冲突持续，外部环境更趋严峻复杂，国内经济恢复基础尚需稳固，结构性通胀压力可能加大。</w:t>
      </w:r>
    </w:p>
    <w:p w:rsidR="00F73388" w:rsidRPr="004123E4" w:rsidRDefault="00186293" w:rsidP="00186293">
      <w:pPr>
        <w:spacing w:line="492" w:lineRule="exact"/>
        <w:ind w:firstLineChars="200" w:firstLine="560"/>
        <w:rPr>
          <w:rFonts w:asciiTheme="minorEastAsia" w:eastAsiaTheme="minorEastAsia" w:hAnsiTheme="minorEastAsia"/>
          <w:color w:val="000000" w:themeColor="text1"/>
          <w:spacing w:val="-9"/>
          <w:sz w:val="28"/>
          <w:szCs w:val="28"/>
        </w:rPr>
      </w:pPr>
      <w:r w:rsidRPr="003A0EEA">
        <w:rPr>
          <w:rFonts w:asciiTheme="minorEastAsia" w:eastAsiaTheme="minorEastAsia" w:hAnsiTheme="minorEastAsia" w:hint="eastAsia"/>
          <w:color w:val="000000" w:themeColor="text1"/>
          <w:sz w:val="28"/>
          <w:szCs w:val="28"/>
        </w:rPr>
        <w:t>人民银行将</w:t>
      </w:r>
      <w:r>
        <w:rPr>
          <w:rFonts w:asciiTheme="minorEastAsia" w:eastAsiaTheme="minorEastAsia" w:hAnsiTheme="minorEastAsia" w:hint="eastAsia"/>
          <w:color w:val="000000" w:themeColor="text1"/>
          <w:sz w:val="28"/>
          <w:szCs w:val="28"/>
        </w:rPr>
        <w:t>继续</w:t>
      </w:r>
      <w:r w:rsidRPr="003A0EEA">
        <w:rPr>
          <w:rFonts w:asciiTheme="minorEastAsia" w:eastAsiaTheme="minorEastAsia" w:hAnsiTheme="minorEastAsia" w:hint="eastAsia"/>
          <w:color w:val="000000" w:themeColor="text1"/>
          <w:sz w:val="28"/>
          <w:szCs w:val="28"/>
        </w:rPr>
        <w:t>贯彻落实中央经济工作会议精神，坚持稳字当头、稳中求进，稳健的货币政策灵活适度，加大跨周期调节力度，发挥好货币政策工具的总量和结构双重功能，更加主动有为，更加积极进取，注重靠前发力，引导金融机构加大对实体经济特别是小微企业、科技创新、绿色发展的支持力度</w:t>
      </w:r>
      <w:r>
        <w:rPr>
          <w:rFonts w:asciiTheme="minorEastAsia" w:eastAsiaTheme="minorEastAsia" w:hAnsiTheme="minorEastAsia" w:hint="eastAsia"/>
          <w:color w:val="000000" w:themeColor="text1"/>
          <w:sz w:val="28"/>
          <w:szCs w:val="28"/>
        </w:rPr>
        <w:t>、稳定宏观经济大盘，为推动经济高质量发展营造适宜的货币金融环境</w:t>
      </w:r>
      <w:r w:rsidR="00F73388" w:rsidRPr="004123E4">
        <w:rPr>
          <w:rFonts w:asciiTheme="minorEastAsia" w:eastAsiaTheme="minorEastAsia" w:hAnsiTheme="minorEastAsia" w:hint="eastAsia"/>
          <w:color w:val="000000" w:themeColor="text1"/>
          <w:sz w:val="28"/>
          <w:szCs w:val="28"/>
        </w:rPr>
        <w:t>。</w:t>
      </w:r>
    </w:p>
    <w:p w:rsidR="00A41165" w:rsidRPr="004123E4"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sidRPr="004123E4">
        <w:rPr>
          <w:rFonts w:asciiTheme="minorEastAsia" w:eastAsiaTheme="minorEastAsia" w:hAnsiTheme="minorEastAsia" w:hint="eastAsia"/>
          <w:color w:val="000000" w:themeColor="text1"/>
          <w:spacing w:val="-9"/>
          <w:sz w:val="28"/>
          <w:szCs w:val="28"/>
        </w:rPr>
        <w:t>2、资产配置策略</w:t>
      </w:r>
      <w:r w:rsidR="00186293">
        <w:rPr>
          <w:rFonts w:asciiTheme="minorEastAsia" w:eastAsiaTheme="minorEastAsia" w:hAnsiTheme="minorEastAsia" w:hint="eastAsia"/>
          <w:color w:val="000000" w:themeColor="text1"/>
          <w:spacing w:val="-9"/>
          <w:sz w:val="28"/>
          <w:szCs w:val="28"/>
        </w:rPr>
        <w:t>及流动性分析</w:t>
      </w:r>
    </w:p>
    <w:p w:rsidR="00A41165" w:rsidRPr="004123E4" w:rsidRDefault="00A41165" w:rsidP="00A41165">
      <w:pPr>
        <w:spacing w:line="492" w:lineRule="exact"/>
        <w:ind w:firstLineChars="200" w:firstLine="560"/>
        <w:rPr>
          <w:rFonts w:asciiTheme="minorEastAsia" w:eastAsiaTheme="minorEastAsia" w:hAnsiTheme="minorEastAsia"/>
          <w:color w:val="000000" w:themeColor="text1"/>
          <w:sz w:val="28"/>
          <w:szCs w:val="28"/>
        </w:rPr>
      </w:pPr>
      <w:r w:rsidRPr="004123E4">
        <w:rPr>
          <w:rFonts w:asciiTheme="minorEastAsia" w:eastAsiaTheme="minorEastAsia" w:hAnsiTheme="minorEastAsia" w:hint="eastAsia"/>
          <w:color w:val="000000" w:themeColor="text1"/>
          <w:sz w:val="28"/>
          <w:szCs w:val="28"/>
        </w:rPr>
        <w:t>利鑫</w:t>
      </w:r>
      <w:r w:rsidRPr="004123E4">
        <w:rPr>
          <w:rFonts w:asciiTheme="minorEastAsia" w:eastAsiaTheme="minorEastAsia" w:hAnsiTheme="minorEastAsia"/>
          <w:color w:val="000000" w:themeColor="text1"/>
          <w:sz w:val="28"/>
          <w:szCs w:val="28"/>
        </w:rPr>
        <w:t>系列产品按照自上而下的方法对计划财产进行动态的整体资产配置和类属资产配置。一方面根据整体资产配置要求通过积极的投资策略主动寻找风险中蕴藏的投资机</w:t>
      </w:r>
      <w:r w:rsidRPr="004123E4">
        <w:rPr>
          <w:rFonts w:asciiTheme="minorEastAsia" w:eastAsiaTheme="minorEastAsia" w:hAnsiTheme="minorEastAsia"/>
          <w:color w:val="000000" w:themeColor="text1"/>
          <w:w w:val="95"/>
          <w:sz w:val="28"/>
          <w:szCs w:val="28"/>
        </w:rPr>
        <w:t xml:space="preserve">会，发掘价格被低估的且符合流动性要求的合适投资品种； </w:t>
      </w:r>
      <w:r w:rsidRPr="004123E4">
        <w:rPr>
          <w:rFonts w:asciiTheme="minorEastAsia" w:eastAsiaTheme="minorEastAsia" w:hAnsiTheme="minorEastAsia"/>
          <w:color w:val="000000" w:themeColor="text1"/>
          <w:sz w:val="28"/>
          <w:szCs w:val="28"/>
        </w:rPr>
        <w:t>另一方面通过风险预算管理、平均剩余期限控制和信用等级限定等方式有效控制投资风险，从而在一定的风险限制范围</w:t>
      </w:r>
      <w:r w:rsidR="008A09CE" w:rsidRPr="004123E4">
        <w:rPr>
          <w:rFonts w:asciiTheme="minorEastAsia" w:eastAsiaTheme="minorEastAsia" w:hAnsiTheme="minorEastAsia" w:hint="eastAsia"/>
          <w:color w:val="000000" w:themeColor="text1"/>
          <w:sz w:val="28"/>
          <w:szCs w:val="28"/>
        </w:rPr>
        <w:t>内达到风险收益最佳配比。</w:t>
      </w:r>
    </w:p>
    <w:p w:rsidR="00873F04" w:rsidRPr="004123E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整体资产配置策略</w:t>
      </w:r>
    </w:p>
    <w:p w:rsidR="00873F04" w:rsidRPr="004123E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w:t>
      </w:r>
      <w:r w:rsidRPr="004123E4">
        <w:rPr>
          <w:rFonts w:asciiTheme="minorEastAsia" w:eastAsiaTheme="minorEastAsia" w:hAnsiTheme="minorEastAsia" w:hint="eastAsia"/>
          <w:color w:val="000000" w:themeColor="text1"/>
          <w:sz w:val="28"/>
          <w:szCs w:val="28"/>
          <w:lang w:val="en-US"/>
        </w:rPr>
        <w:lastRenderedPageBreak/>
        <w:t>的综合分析，在整体资产之间进行动态配置，确定资产的最优配置比例和相应的风险水平。</w:t>
      </w:r>
    </w:p>
    <w:p w:rsidR="00873F04" w:rsidRPr="004123E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类属资产配置策略</w:t>
      </w:r>
    </w:p>
    <w:p w:rsidR="00873F04" w:rsidRPr="004123E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t>在整体资产配置策略的指导下，根据资产的风险来源、</w:t>
      </w:r>
      <w:r w:rsidRPr="004123E4">
        <w:rPr>
          <w:rFonts w:asciiTheme="minorEastAsia" w:eastAsiaTheme="minorEastAsia" w:hAnsiTheme="minorEastAsia"/>
          <w:color w:val="000000" w:themeColor="text1"/>
          <w:sz w:val="28"/>
          <w:szCs w:val="28"/>
          <w:lang w:val="en-US"/>
        </w:rPr>
        <w:t xml:space="preserve"> 收益率水平以及市场流动性等因素，根据不同资产类属（例如债券、货币、现金等），采取积极投资策略，定期对投资组合类属资产进行最优化配置和调整，确定类属资产的最优权数。</w:t>
      </w:r>
    </w:p>
    <w:p w:rsidR="005177EC" w:rsidRPr="004123E4"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明细资产配置策略</w:t>
      </w:r>
    </w:p>
    <w:p w:rsidR="005177EC" w:rsidRPr="004123E4"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4123E4" w:rsidRDefault="0093754A" w:rsidP="0093754A">
      <w:pPr>
        <w:pStyle w:val="a5"/>
        <w:numPr>
          <w:ilvl w:val="0"/>
          <w:numId w:val="3"/>
        </w:numPr>
        <w:spacing w:line="492" w:lineRule="exact"/>
        <w:rPr>
          <w:rFonts w:ascii="仿宋" w:eastAsia="仿宋" w:hAnsi="仿宋"/>
          <w:b/>
          <w:color w:val="000000" w:themeColor="text1"/>
          <w:sz w:val="30"/>
        </w:rPr>
      </w:pPr>
      <w:r w:rsidRPr="004123E4">
        <w:rPr>
          <w:rFonts w:ascii="仿宋" w:eastAsia="仿宋" w:hAnsi="仿宋" w:hint="eastAsia"/>
          <w:b/>
          <w:color w:val="000000" w:themeColor="text1"/>
          <w:sz w:val="30"/>
        </w:rPr>
        <w:t>投资组合情况：</w:t>
      </w:r>
    </w:p>
    <w:p w:rsidR="0093754A" w:rsidRDefault="0093754A" w:rsidP="00C90A0F">
      <w:pPr>
        <w:pStyle w:val="a5"/>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5"/>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C105F1">
        <w:trPr>
          <w:trHeight w:val="355"/>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870687" w:rsidP="000060E3">
            <w:pPr>
              <w:widowControl/>
              <w:autoSpaceDE/>
              <w:autoSpaceDN/>
              <w:jc w:val="center"/>
              <w:rPr>
                <w:rFonts w:ascii="宋体" w:eastAsia="宋体" w:hAnsi="宋体" w:cs="宋体"/>
                <w:color w:val="000000"/>
                <w:lang w:val="en-US" w:bidi="ar-SA"/>
              </w:rPr>
            </w:pPr>
            <w:r>
              <w:rPr>
                <w:rFonts w:hint="eastAsia"/>
                <w:color w:val="000000"/>
                <w:lang w:val="en-US" w:bidi="ar-SA"/>
              </w:rPr>
              <w:t>20.30%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870687" w:rsidP="00F73388">
            <w:pPr>
              <w:widowControl/>
              <w:autoSpaceDE/>
              <w:autoSpaceDN/>
              <w:jc w:val="center"/>
              <w:rPr>
                <w:rFonts w:ascii="宋体" w:eastAsia="宋体" w:hAnsi="宋体" w:cs="宋体"/>
                <w:color w:val="000000"/>
                <w:lang w:val="en-US" w:bidi="ar-SA"/>
              </w:rPr>
            </w:pPr>
            <w:r>
              <w:rPr>
                <w:rFonts w:hint="eastAsia"/>
                <w:color w:val="000000"/>
                <w:lang w:val="en-US" w:bidi="ar-SA"/>
              </w:rPr>
              <w:t>79.70%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Pr="009C20DF" w:rsidRDefault="00955F04" w:rsidP="009C20D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r>
              <w:rPr>
                <w:rFonts w:ascii="Microsoft JhengHei" w:eastAsia="Microsoft JhengHei" w:hint="eastAsia"/>
                <w:b/>
              </w:rPr>
              <w:t>序号</w:t>
            </w:r>
          </w:p>
        </w:tc>
        <w:tc>
          <w:tcPr>
            <w:tcW w:w="2977" w:type="dxa"/>
          </w:tcPr>
          <w:p w:rsidR="00C90A0F" w:rsidRDefault="00C90A0F" w:rsidP="00C90A0F">
            <w:pPr>
              <w:pStyle w:val="TableParagraph"/>
              <w:spacing w:line="292" w:lineRule="exact"/>
              <w:ind w:left="832"/>
              <w:rPr>
                <w:rFonts w:ascii="Microsoft JhengHei" w:eastAsia="Microsoft JhengHei"/>
                <w:b/>
              </w:rPr>
            </w:pPr>
            <w:r>
              <w:rPr>
                <w:rFonts w:ascii="Microsoft JhengHei" w:eastAsia="Microsoft JhengHei" w:hint="eastAsia"/>
                <w:b/>
              </w:rPr>
              <w:t>资产名称</w:t>
            </w:r>
          </w:p>
        </w:tc>
        <w:tc>
          <w:tcPr>
            <w:tcW w:w="1701" w:type="dxa"/>
          </w:tcPr>
          <w:p w:rsidR="00C90A0F" w:rsidRDefault="00C90A0F" w:rsidP="00C90A0F">
            <w:pPr>
              <w:pStyle w:val="TableParagraph"/>
              <w:spacing w:line="292" w:lineRule="exact"/>
              <w:ind w:left="496"/>
              <w:rPr>
                <w:rFonts w:ascii="Microsoft JhengHei" w:eastAsia="Microsoft JhengHei"/>
                <w:b/>
              </w:rPr>
            </w:pPr>
            <w:r>
              <w:rPr>
                <w:rFonts w:ascii="Microsoft JhengHei" w:eastAsia="Microsoft JhengHei" w:hint="eastAsia"/>
                <w:b/>
              </w:rPr>
              <w:t>规模（元）</w:t>
            </w:r>
          </w:p>
        </w:tc>
        <w:tc>
          <w:tcPr>
            <w:tcW w:w="1842" w:type="dxa"/>
          </w:tcPr>
          <w:p w:rsidR="00C90A0F" w:rsidRDefault="00C90A0F" w:rsidP="00C90A0F">
            <w:pPr>
              <w:pStyle w:val="TableParagraph"/>
              <w:spacing w:line="292" w:lineRule="exact"/>
              <w:ind w:left="319"/>
              <w:rPr>
                <w:rFonts w:ascii="Microsoft JhengHei" w:eastAsia="Microsoft JhengHei"/>
                <w:b/>
              </w:rPr>
            </w:pPr>
            <w:r>
              <w:rPr>
                <w:rFonts w:ascii="Microsoft JhengHei" w:eastAsia="Microsoft JhengHei" w:hint="eastAsia"/>
                <w:b/>
              </w:rPr>
              <w:t>占比</w:t>
            </w:r>
          </w:p>
        </w:tc>
      </w:tr>
      <w:tr w:rsidR="000030AB" w:rsidTr="000030AB">
        <w:trPr>
          <w:trHeight w:val="618"/>
        </w:trPr>
        <w:tc>
          <w:tcPr>
            <w:tcW w:w="1418" w:type="dxa"/>
          </w:tcPr>
          <w:p w:rsidR="000030AB" w:rsidRDefault="004123E4" w:rsidP="0087766A">
            <w:pPr>
              <w:pStyle w:val="TableParagraph"/>
              <w:spacing w:before="15" w:line="277" w:lineRule="exact"/>
              <w:ind w:left="6"/>
              <w:rPr>
                <w:lang w:eastAsia="zh-CN"/>
              </w:rPr>
            </w:pPr>
            <w:r>
              <w:rPr>
                <w:rFonts w:hint="eastAsia"/>
                <w:lang w:eastAsia="zh-CN"/>
              </w:rPr>
              <w:t>1</w:t>
            </w:r>
          </w:p>
        </w:tc>
        <w:tc>
          <w:tcPr>
            <w:tcW w:w="2977" w:type="dxa"/>
          </w:tcPr>
          <w:p w:rsidR="000030AB" w:rsidRPr="00306EBA" w:rsidRDefault="000030AB" w:rsidP="00F04682">
            <w:pPr>
              <w:pStyle w:val="TableParagraph"/>
              <w:spacing w:before="22"/>
              <w:ind w:left="107"/>
              <w:rPr>
                <w:sz w:val="21"/>
                <w:lang w:eastAsia="zh-CN"/>
              </w:rPr>
            </w:pPr>
            <w:r w:rsidRPr="00E27E15">
              <w:rPr>
                <w:rFonts w:asciiTheme="minorEastAsia" w:eastAsiaTheme="minorEastAsia" w:hAnsiTheme="minorEastAsia" w:hint="eastAsia"/>
                <w:lang w:eastAsia="zh-CN"/>
              </w:rPr>
              <w:t>新华富时乌海</w:t>
            </w:r>
            <w:r w:rsidRPr="00E27E15">
              <w:rPr>
                <w:rFonts w:asciiTheme="minorEastAsia" w:eastAsiaTheme="minorEastAsia" w:hAnsiTheme="minorEastAsia"/>
                <w:lang w:eastAsia="zh-CN"/>
              </w:rPr>
              <w:t>1号专项资产管理计划-</w:t>
            </w:r>
            <w:r w:rsidR="00870687" w:rsidRPr="00870687">
              <w:rPr>
                <w:rFonts w:asciiTheme="minorEastAsia" w:eastAsiaTheme="minorEastAsia" w:hAnsiTheme="minorEastAsia"/>
                <w:lang w:eastAsia="zh-CN"/>
              </w:rPr>
              <w:t>1621034</w:t>
            </w:r>
          </w:p>
        </w:tc>
        <w:tc>
          <w:tcPr>
            <w:tcW w:w="1701" w:type="dxa"/>
          </w:tcPr>
          <w:p w:rsidR="000030AB" w:rsidRDefault="00870687" w:rsidP="00F04682">
            <w:pPr>
              <w:pStyle w:val="TableParagraph"/>
              <w:spacing w:before="28"/>
              <w:ind w:left="107"/>
              <w:rPr>
                <w:rFonts w:ascii="Calibri"/>
                <w:sz w:val="21"/>
                <w:lang w:eastAsia="zh-CN"/>
              </w:rPr>
            </w:pPr>
            <w:r>
              <w:rPr>
                <w:rFonts w:ascii="Calibri" w:hint="eastAsia"/>
                <w:sz w:val="21"/>
                <w:lang w:eastAsia="zh-CN"/>
              </w:rPr>
              <w:t>15992072.01</w:t>
            </w:r>
          </w:p>
        </w:tc>
        <w:tc>
          <w:tcPr>
            <w:tcW w:w="1842" w:type="dxa"/>
          </w:tcPr>
          <w:p w:rsidR="000030AB" w:rsidRDefault="00870687" w:rsidP="00F04682">
            <w:pPr>
              <w:pStyle w:val="TableParagraph"/>
              <w:spacing w:before="28"/>
              <w:ind w:left="107"/>
              <w:rPr>
                <w:rFonts w:ascii="Calibri"/>
                <w:sz w:val="21"/>
              </w:rPr>
            </w:pPr>
            <w:r>
              <w:rPr>
                <w:rFonts w:hint="eastAsia"/>
                <w:color w:val="000000"/>
                <w:lang w:val="en-US" w:eastAsia="zh-CN" w:bidi="ar-SA"/>
              </w:rPr>
              <w:t>79.70</w:t>
            </w:r>
            <w:r w:rsidR="00E548C5">
              <w:rPr>
                <w:rFonts w:hint="eastAsia"/>
                <w:color w:val="000000"/>
                <w:lang w:val="en-US" w:bidi="ar-SA"/>
              </w:rPr>
              <w:t>%</w:t>
            </w:r>
          </w:p>
        </w:tc>
      </w:tr>
      <w:tr w:rsidR="0066028B" w:rsidTr="0052311A">
        <w:trPr>
          <w:trHeight w:val="306"/>
        </w:trPr>
        <w:tc>
          <w:tcPr>
            <w:tcW w:w="1418" w:type="dxa"/>
          </w:tcPr>
          <w:p w:rsidR="0066028B" w:rsidRDefault="004123E4" w:rsidP="0087766A">
            <w:pPr>
              <w:pStyle w:val="TableParagraph"/>
              <w:spacing w:before="15" w:line="277" w:lineRule="exact"/>
              <w:ind w:left="6"/>
              <w:rPr>
                <w:lang w:eastAsia="zh-CN"/>
              </w:rPr>
            </w:pPr>
            <w:r>
              <w:rPr>
                <w:rFonts w:hint="eastAsia"/>
                <w:lang w:eastAsia="zh-CN"/>
              </w:rPr>
              <w:t>2</w:t>
            </w:r>
          </w:p>
        </w:tc>
        <w:tc>
          <w:tcPr>
            <w:tcW w:w="2977" w:type="dxa"/>
          </w:tcPr>
          <w:p w:rsidR="0066028B" w:rsidRDefault="0066028B" w:rsidP="0087766A">
            <w:pPr>
              <w:pStyle w:val="TableParagraph"/>
              <w:spacing w:before="22"/>
              <w:ind w:left="107"/>
              <w:rPr>
                <w:rFonts w:asciiTheme="minorEastAsia" w:eastAsiaTheme="minorEastAsia" w:hAnsiTheme="minorEastAsia"/>
              </w:rPr>
            </w:pPr>
            <w:r>
              <w:rPr>
                <w:rFonts w:asciiTheme="minorEastAsia" w:eastAsiaTheme="minorEastAsia" w:hAnsiTheme="minorEastAsia" w:hint="eastAsia"/>
                <w:color w:val="000000" w:themeColor="text1"/>
                <w:lang w:eastAsia="zh-CN"/>
              </w:rPr>
              <w:t>吉林环城农商行协议存款</w:t>
            </w:r>
          </w:p>
        </w:tc>
        <w:tc>
          <w:tcPr>
            <w:tcW w:w="1701" w:type="dxa"/>
          </w:tcPr>
          <w:p w:rsidR="0066028B" w:rsidRDefault="00EB1468" w:rsidP="0087766A">
            <w:pPr>
              <w:pStyle w:val="TableParagraph"/>
              <w:spacing w:before="28"/>
              <w:ind w:left="107"/>
              <w:rPr>
                <w:rFonts w:ascii="Calibri"/>
                <w:sz w:val="21"/>
                <w:lang w:eastAsia="zh-CN"/>
              </w:rPr>
            </w:pPr>
            <w:r>
              <w:rPr>
                <w:rFonts w:ascii="Calibri" w:hint="eastAsia"/>
                <w:sz w:val="21"/>
                <w:lang w:eastAsia="zh-CN"/>
              </w:rPr>
              <w:t>2755318.62</w:t>
            </w:r>
          </w:p>
        </w:tc>
        <w:tc>
          <w:tcPr>
            <w:tcW w:w="1842" w:type="dxa"/>
          </w:tcPr>
          <w:p w:rsidR="0066028B" w:rsidRDefault="00870687" w:rsidP="000030AB">
            <w:pPr>
              <w:pStyle w:val="TableParagraph"/>
              <w:spacing w:before="28"/>
              <w:ind w:left="107"/>
              <w:rPr>
                <w:color w:val="000000"/>
                <w:lang w:val="en-US" w:eastAsia="zh-CN" w:bidi="ar-SA"/>
              </w:rPr>
            </w:pPr>
            <w:r>
              <w:rPr>
                <w:rFonts w:hint="eastAsia"/>
                <w:color w:val="000000"/>
                <w:lang w:val="en-US" w:eastAsia="zh-CN" w:bidi="ar-SA"/>
              </w:rPr>
              <w:t>20.30</w:t>
            </w:r>
            <w:r w:rsidR="0066028B">
              <w:rPr>
                <w:rFonts w:hint="eastAsia"/>
                <w:color w:val="000000"/>
                <w:lang w:val="en-US" w:bidi="ar-SA"/>
              </w:rPr>
              <w:t>%</w:t>
            </w:r>
          </w:p>
        </w:tc>
      </w:tr>
    </w:tbl>
    <w:p w:rsidR="00DC4BF5" w:rsidRDefault="00DC4BF5" w:rsidP="00C90A0F">
      <w:pPr>
        <w:ind w:right="640" w:firstLineChars="1350" w:firstLine="4320"/>
        <w:rPr>
          <w:sz w:val="32"/>
          <w:szCs w:val="32"/>
        </w:rPr>
      </w:pPr>
    </w:p>
    <w:p w:rsidR="00DC4BF5" w:rsidRDefault="00DC4BF5" w:rsidP="00C90A0F">
      <w:pPr>
        <w:ind w:right="640" w:firstLineChars="1350" w:firstLine="4320"/>
        <w:rPr>
          <w:sz w:val="32"/>
          <w:szCs w:val="32"/>
        </w:rPr>
      </w:pPr>
    </w:p>
    <w:p w:rsidR="00C90A0F" w:rsidRPr="00C26D56" w:rsidRDefault="00C90A0F" w:rsidP="00C90A0F">
      <w:pPr>
        <w:ind w:right="640" w:firstLineChars="1350" w:firstLine="4320"/>
        <w:rPr>
          <w:sz w:val="32"/>
          <w:szCs w:val="32"/>
        </w:rPr>
      </w:pPr>
      <w:r w:rsidRPr="00C26D56">
        <w:rPr>
          <w:rFonts w:hint="eastAsia"/>
          <w:sz w:val="32"/>
          <w:szCs w:val="32"/>
        </w:rPr>
        <w:t>乌海银行股份有限公司</w:t>
      </w:r>
    </w:p>
    <w:p w:rsidR="004123E4" w:rsidRPr="00CE56ED" w:rsidRDefault="00C90A0F" w:rsidP="004123E4">
      <w:pPr>
        <w:rPr>
          <w:color w:val="000000" w:themeColor="text1"/>
        </w:rPr>
      </w:pPr>
      <w:r>
        <w:rPr>
          <w:rFonts w:hint="eastAsia"/>
          <w:sz w:val="32"/>
          <w:szCs w:val="32"/>
        </w:rPr>
        <w:t xml:space="preserve"> </w:t>
      </w:r>
      <w:r w:rsidR="00C42C3D">
        <w:rPr>
          <w:rFonts w:hint="eastAsia"/>
          <w:sz w:val="32"/>
          <w:szCs w:val="32"/>
        </w:rPr>
        <w:t xml:space="preserve">                          </w:t>
      </w:r>
      <w:r w:rsidR="004123E4">
        <w:rPr>
          <w:rFonts w:hint="eastAsia"/>
          <w:sz w:val="32"/>
          <w:szCs w:val="32"/>
        </w:rPr>
        <w:t xml:space="preserve">     </w:t>
      </w:r>
      <w:r w:rsidR="00186293">
        <w:rPr>
          <w:rFonts w:hint="eastAsia"/>
          <w:color w:val="000000" w:themeColor="text1"/>
          <w:sz w:val="32"/>
          <w:szCs w:val="32"/>
        </w:rPr>
        <w:t xml:space="preserve">2022.7.8 </w:t>
      </w:r>
      <w:r w:rsidR="004123E4" w:rsidRPr="00CE56ED">
        <w:rPr>
          <w:rFonts w:hint="eastAsia"/>
          <w:color w:val="000000" w:themeColor="text1"/>
          <w:sz w:val="32"/>
          <w:szCs w:val="32"/>
        </w:rPr>
        <w:t xml:space="preserve"> </w:t>
      </w:r>
    </w:p>
    <w:p w:rsidR="00C90A0F" w:rsidRPr="00C90A0F" w:rsidRDefault="00C90A0F" w:rsidP="00C90A0F">
      <w:pPr>
        <w:ind w:right="640"/>
        <w:jc w:val="center"/>
        <w:rPr>
          <w:sz w:val="32"/>
          <w:szCs w:val="32"/>
        </w:rPr>
      </w:pP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519A" w:rsidRDefault="003A519A" w:rsidP="000B133E">
      <w:r>
        <w:separator/>
      </w:r>
    </w:p>
  </w:endnote>
  <w:endnote w:type="continuationSeparator" w:id="1">
    <w:p w:rsidR="003A519A" w:rsidRDefault="003A519A"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JhengHei">
    <w:altName w:val="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519A" w:rsidRDefault="003A519A" w:rsidP="000B133E">
      <w:r>
        <w:separator/>
      </w:r>
    </w:p>
  </w:footnote>
  <w:footnote w:type="continuationSeparator" w:id="1">
    <w:p w:rsidR="003A519A" w:rsidRDefault="003A519A"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01A00"/>
    <w:rsid w:val="00001AF6"/>
    <w:rsid w:val="00002933"/>
    <w:rsid w:val="000030AB"/>
    <w:rsid w:val="000060E3"/>
    <w:rsid w:val="00013E60"/>
    <w:rsid w:val="0002628D"/>
    <w:rsid w:val="0004121D"/>
    <w:rsid w:val="00041E6F"/>
    <w:rsid w:val="00045431"/>
    <w:rsid w:val="00050800"/>
    <w:rsid w:val="000A6BBA"/>
    <w:rsid w:val="000B133E"/>
    <w:rsid w:val="000B1F78"/>
    <w:rsid w:val="000C381F"/>
    <w:rsid w:val="000C6D7E"/>
    <w:rsid w:val="000E6514"/>
    <w:rsid w:val="00102222"/>
    <w:rsid w:val="001135F0"/>
    <w:rsid w:val="00120D53"/>
    <w:rsid w:val="00120E10"/>
    <w:rsid w:val="0013476A"/>
    <w:rsid w:val="00147C2E"/>
    <w:rsid w:val="001708FD"/>
    <w:rsid w:val="001820B1"/>
    <w:rsid w:val="00186293"/>
    <w:rsid w:val="001878BB"/>
    <w:rsid w:val="001A0A7B"/>
    <w:rsid w:val="001C07C3"/>
    <w:rsid w:val="001C1409"/>
    <w:rsid w:val="001C15F5"/>
    <w:rsid w:val="001C1AB5"/>
    <w:rsid w:val="001C1D1C"/>
    <w:rsid w:val="001E4787"/>
    <w:rsid w:val="001F3925"/>
    <w:rsid w:val="001F3CF4"/>
    <w:rsid w:val="002258FC"/>
    <w:rsid w:val="00264A5F"/>
    <w:rsid w:val="00266107"/>
    <w:rsid w:val="0029003A"/>
    <w:rsid w:val="00294D4A"/>
    <w:rsid w:val="002C38EE"/>
    <w:rsid w:val="002C72ED"/>
    <w:rsid w:val="002D37C8"/>
    <w:rsid w:val="002D42B1"/>
    <w:rsid w:val="002F108B"/>
    <w:rsid w:val="003059DF"/>
    <w:rsid w:val="00310492"/>
    <w:rsid w:val="00331CE2"/>
    <w:rsid w:val="003400D8"/>
    <w:rsid w:val="00340332"/>
    <w:rsid w:val="00362548"/>
    <w:rsid w:val="00371E38"/>
    <w:rsid w:val="003A377B"/>
    <w:rsid w:val="003A519A"/>
    <w:rsid w:val="003C4544"/>
    <w:rsid w:val="003C7A7C"/>
    <w:rsid w:val="003E223A"/>
    <w:rsid w:val="00401EEB"/>
    <w:rsid w:val="004123E4"/>
    <w:rsid w:val="00423814"/>
    <w:rsid w:val="00425A9B"/>
    <w:rsid w:val="00441819"/>
    <w:rsid w:val="00454B55"/>
    <w:rsid w:val="00476ED8"/>
    <w:rsid w:val="00483E5A"/>
    <w:rsid w:val="0048443D"/>
    <w:rsid w:val="004854C2"/>
    <w:rsid w:val="004856B7"/>
    <w:rsid w:val="004D07F1"/>
    <w:rsid w:val="004E3DF2"/>
    <w:rsid w:val="004E6A0C"/>
    <w:rsid w:val="004F61BB"/>
    <w:rsid w:val="0050015F"/>
    <w:rsid w:val="005177EC"/>
    <w:rsid w:val="0052311A"/>
    <w:rsid w:val="005471DE"/>
    <w:rsid w:val="00554866"/>
    <w:rsid w:val="00554EFA"/>
    <w:rsid w:val="005641DC"/>
    <w:rsid w:val="00571251"/>
    <w:rsid w:val="00574480"/>
    <w:rsid w:val="00583CAE"/>
    <w:rsid w:val="005931A1"/>
    <w:rsid w:val="005F683C"/>
    <w:rsid w:val="00604403"/>
    <w:rsid w:val="00607E50"/>
    <w:rsid w:val="00611325"/>
    <w:rsid w:val="006310E4"/>
    <w:rsid w:val="00642E7D"/>
    <w:rsid w:val="0064306B"/>
    <w:rsid w:val="00643FC9"/>
    <w:rsid w:val="00653C24"/>
    <w:rsid w:val="00653F17"/>
    <w:rsid w:val="00656C9B"/>
    <w:rsid w:val="0066028B"/>
    <w:rsid w:val="00672DD1"/>
    <w:rsid w:val="00673A11"/>
    <w:rsid w:val="00674ADA"/>
    <w:rsid w:val="006831C4"/>
    <w:rsid w:val="00683AA2"/>
    <w:rsid w:val="00685969"/>
    <w:rsid w:val="006935A2"/>
    <w:rsid w:val="006A4AC7"/>
    <w:rsid w:val="006B2B21"/>
    <w:rsid w:val="00714DC0"/>
    <w:rsid w:val="00717E49"/>
    <w:rsid w:val="00737152"/>
    <w:rsid w:val="007424BF"/>
    <w:rsid w:val="007508C6"/>
    <w:rsid w:val="00780F7B"/>
    <w:rsid w:val="00790E37"/>
    <w:rsid w:val="007C5726"/>
    <w:rsid w:val="007D1A82"/>
    <w:rsid w:val="007D5E55"/>
    <w:rsid w:val="00812D23"/>
    <w:rsid w:val="00813300"/>
    <w:rsid w:val="00813547"/>
    <w:rsid w:val="00837414"/>
    <w:rsid w:val="00870687"/>
    <w:rsid w:val="00873F04"/>
    <w:rsid w:val="00894E5A"/>
    <w:rsid w:val="008A09CE"/>
    <w:rsid w:val="008C2886"/>
    <w:rsid w:val="008D49B3"/>
    <w:rsid w:val="008E2EE0"/>
    <w:rsid w:val="0090517E"/>
    <w:rsid w:val="00906DF8"/>
    <w:rsid w:val="00936E75"/>
    <w:rsid w:val="0093754A"/>
    <w:rsid w:val="00955BD3"/>
    <w:rsid w:val="00955F04"/>
    <w:rsid w:val="00980B2A"/>
    <w:rsid w:val="009924B9"/>
    <w:rsid w:val="009A1093"/>
    <w:rsid w:val="009A29CA"/>
    <w:rsid w:val="009B7B85"/>
    <w:rsid w:val="009C20DF"/>
    <w:rsid w:val="009F0B83"/>
    <w:rsid w:val="009F3D3A"/>
    <w:rsid w:val="009F6B8D"/>
    <w:rsid w:val="00A00ECA"/>
    <w:rsid w:val="00A02FF7"/>
    <w:rsid w:val="00A10FE9"/>
    <w:rsid w:val="00A30969"/>
    <w:rsid w:val="00A41165"/>
    <w:rsid w:val="00A62417"/>
    <w:rsid w:val="00A77D6B"/>
    <w:rsid w:val="00A84386"/>
    <w:rsid w:val="00AA1B91"/>
    <w:rsid w:val="00AA3992"/>
    <w:rsid w:val="00AE7D35"/>
    <w:rsid w:val="00B003F3"/>
    <w:rsid w:val="00B0131B"/>
    <w:rsid w:val="00B03613"/>
    <w:rsid w:val="00B06EA0"/>
    <w:rsid w:val="00B108B4"/>
    <w:rsid w:val="00B1274E"/>
    <w:rsid w:val="00B22408"/>
    <w:rsid w:val="00B43A4E"/>
    <w:rsid w:val="00B43B21"/>
    <w:rsid w:val="00B50CE4"/>
    <w:rsid w:val="00B62EC1"/>
    <w:rsid w:val="00B75EF0"/>
    <w:rsid w:val="00B8264D"/>
    <w:rsid w:val="00B83DFB"/>
    <w:rsid w:val="00B907A8"/>
    <w:rsid w:val="00B95B89"/>
    <w:rsid w:val="00BA1CF7"/>
    <w:rsid w:val="00BB3B19"/>
    <w:rsid w:val="00BC1919"/>
    <w:rsid w:val="00BC42F2"/>
    <w:rsid w:val="00BE1C66"/>
    <w:rsid w:val="00C105F1"/>
    <w:rsid w:val="00C23808"/>
    <w:rsid w:val="00C40DF2"/>
    <w:rsid w:val="00C42C3D"/>
    <w:rsid w:val="00C55D0B"/>
    <w:rsid w:val="00C740B4"/>
    <w:rsid w:val="00C80406"/>
    <w:rsid w:val="00C81246"/>
    <w:rsid w:val="00C90A0F"/>
    <w:rsid w:val="00CB24A9"/>
    <w:rsid w:val="00CB3582"/>
    <w:rsid w:val="00CC0C59"/>
    <w:rsid w:val="00CE3C85"/>
    <w:rsid w:val="00CF0B03"/>
    <w:rsid w:val="00D02790"/>
    <w:rsid w:val="00D12FAC"/>
    <w:rsid w:val="00D30694"/>
    <w:rsid w:val="00D30B86"/>
    <w:rsid w:val="00D409FD"/>
    <w:rsid w:val="00D5569E"/>
    <w:rsid w:val="00D80A1C"/>
    <w:rsid w:val="00D8107E"/>
    <w:rsid w:val="00DA53E4"/>
    <w:rsid w:val="00DC4BF5"/>
    <w:rsid w:val="00DF724B"/>
    <w:rsid w:val="00E26FBC"/>
    <w:rsid w:val="00E27944"/>
    <w:rsid w:val="00E40F64"/>
    <w:rsid w:val="00E46453"/>
    <w:rsid w:val="00E51586"/>
    <w:rsid w:val="00E548C5"/>
    <w:rsid w:val="00E72096"/>
    <w:rsid w:val="00E750D5"/>
    <w:rsid w:val="00EA4174"/>
    <w:rsid w:val="00EA47C2"/>
    <w:rsid w:val="00EB04F3"/>
    <w:rsid w:val="00EB1468"/>
    <w:rsid w:val="00EB337B"/>
    <w:rsid w:val="00EB5923"/>
    <w:rsid w:val="00EC1D56"/>
    <w:rsid w:val="00ED1B04"/>
    <w:rsid w:val="00EE5B1C"/>
    <w:rsid w:val="00F24E24"/>
    <w:rsid w:val="00F30827"/>
    <w:rsid w:val="00F42637"/>
    <w:rsid w:val="00F474BA"/>
    <w:rsid w:val="00F50E1D"/>
    <w:rsid w:val="00F5221F"/>
    <w:rsid w:val="00F60300"/>
    <w:rsid w:val="00F677A6"/>
    <w:rsid w:val="00F73388"/>
    <w:rsid w:val="00FB0FFD"/>
    <w:rsid w:val="00FB1CD9"/>
    <w:rsid w:val="00FC3DE4"/>
    <w:rsid w:val="00FC64F0"/>
    <w:rsid w:val="00FD5510"/>
    <w:rsid w:val="00FF4F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340</Words>
  <Characters>1941</Characters>
  <Application>Microsoft Office Word</Application>
  <DocSecurity>0</DocSecurity>
  <Lines>16</Lines>
  <Paragraphs>4</Paragraphs>
  <ScaleCrop>false</ScaleCrop>
  <Company>china</Company>
  <LinksUpToDate>false</LinksUpToDate>
  <CharactersWithSpaces>2277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2</cp:revision>
  <dcterms:created xsi:type="dcterms:W3CDTF">2022-09-30T08:13:00Z</dcterms:created>
  <dcterms:modified xsi:type="dcterms:W3CDTF">2022-09-30T08:13:00Z</dcterms:modified>
</cp:coreProperties>
</file>