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EE1B80">
        <w:rPr>
          <w:rFonts w:hint="eastAsia"/>
          <w:b/>
          <w:sz w:val="36"/>
          <w:szCs w:val="36"/>
        </w:rPr>
        <w:t>第</w:t>
      </w:r>
      <w:r w:rsidR="009E42D9">
        <w:rPr>
          <w:rFonts w:hint="eastAsia"/>
          <w:b/>
          <w:sz w:val="36"/>
          <w:szCs w:val="36"/>
        </w:rPr>
        <w:t>63</w:t>
      </w:r>
      <w:r w:rsidR="00EE1B80">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F4607A">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EE1B80">
              <w:rPr>
                <w:rFonts w:cs="宋体"/>
                <w:color w:val="000000"/>
                <w:sz w:val="24"/>
                <w:szCs w:val="24"/>
                <w:lang w:val="en-US" w:bidi="ar-SA"/>
              </w:rPr>
              <w:t>第</w:t>
            </w:r>
            <w:r w:rsidR="009E42D9">
              <w:rPr>
                <w:rFonts w:cs="宋体" w:hint="eastAsia"/>
                <w:color w:val="000000"/>
                <w:sz w:val="24"/>
                <w:szCs w:val="24"/>
                <w:lang w:val="en-US" w:bidi="ar-SA"/>
              </w:rPr>
              <w:t>63</w:t>
            </w:r>
            <w:r w:rsidR="00EE1B80">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EE1B80">
              <w:rPr>
                <w:rFonts w:hint="eastAsia"/>
                <w:sz w:val="24"/>
                <w:szCs w:val="24"/>
              </w:rPr>
              <w:t>20</w:t>
            </w:r>
            <w:r w:rsidR="009D5F5F">
              <w:rPr>
                <w:rFonts w:hint="eastAsia"/>
                <w:sz w:val="24"/>
                <w:szCs w:val="24"/>
              </w:rPr>
              <w:t>6</w:t>
            </w:r>
            <w:r w:rsidR="009E42D9">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9E42D9">
              <w:rPr>
                <w:rFonts w:hint="eastAsia"/>
                <w:sz w:val="24"/>
                <w:szCs w:val="24"/>
              </w:rPr>
              <w:t>60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E42D9" w:rsidP="00D409FD">
            <w:pPr>
              <w:widowControl/>
              <w:autoSpaceDE/>
              <w:autoSpaceDN/>
              <w:rPr>
                <w:rFonts w:cs="宋体"/>
                <w:color w:val="000000"/>
                <w:sz w:val="24"/>
                <w:szCs w:val="24"/>
                <w:lang w:val="en-US" w:bidi="ar-SA"/>
              </w:rPr>
            </w:pPr>
            <w:r>
              <w:rPr>
                <w:rFonts w:hint="eastAsia"/>
                <w:sz w:val="24"/>
                <w:szCs w:val="24"/>
              </w:rPr>
              <w:t>10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D5F5F">
              <w:rPr>
                <w:rFonts w:hint="eastAsia"/>
                <w:sz w:val="24"/>
                <w:szCs w:val="24"/>
              </w:rPr>
              <w:t>6</w:t>
            </w:r>
            <w:r w:rsidR="00425A9B" w:rsidRPr="006838E1">
              <w:rPr>
                <w:sz w:val="24"/>
                <w:szCs w:val="24"/>
              </w:rPr>
              <w:t xml:space="preserve">月 </w:t>
            </w:r>
            <w:r w:rsidR="00EE1B80">
              <w:rPr>
                <w:rFonts w:hint="eastAsia"/>
                <w:sz w:val="24"/>
                <w:szCs w:val="24"/>
              </w:rPr>
              <w:t>8</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E42D9" w:rsidP="00B03613">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3</w:t>
            </w:r>
            <w:r w:rsidR="00F76990" w:rsidRPr="006838E1">
              <w:rPr>
                <w:sz w:val="24"/>
                <w:szCs w:val="24"/>
              </w:rPr>
              <w:t xml:space="preserve">月 </w:t>
            </w:r>
            <w:r>
              <w:rPr>
                <w:rFonts w:hint="eastAsia"/>
                <w:sz w:val="24"/>
                <w:szCs w:val="24"/>
              </w:rPr>
              <w:t>29</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9E42D9">
              <w:rPr>
                <w:rFonts w:cs="宋体" w:hint="eastAsia"/>
                <w:color w:val="000000"/>
                <w:sz w:val="24"/>
                <w:szCs w:val="24"/>
                <w:lang w:val="en-US" w:bidi="ar-SA"/>
              </w:rPr>
              <w:t>7</w:t>
            </w:r>
            <w:r w:rsidR="009D5F5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E42D9">
        <w:rPr>
          <w:rFonts w:asciiTheme="minorEastAsia" w:eastAsiaTheme="minorEastAsia" w:hAnsiTheme="minorEastAsia" w:hint="eastAsia"/>
          <w:sz w:val="28"/>
          <w:szCs w:val="28"/>
        </w:rPr>
        <w:t>7</w:t>
      </w:r>
      <w:r w:rsidR="009D5F5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4607A"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526F2" w:rsidP="00CC0C59">
            <w:pPr>
              <w:widowControl/>
              <w:autoSpaceDE/>
              <w:autoSpaceDN/>
              <w:jc w:val="center"/>
              <w:rPr>
                <w:rFonts w:ascii="宋体" w:eastAsia="宋体" w:hAnsi="宋体" w:cs="宋体"/>
                <w:color w:val="000000"/>
                <w:lang w:val="en-US" w:bidi="ar-SA"/>
              </w:rPr>
            </w:pPr>
            <w:r w:rsidRPr="002526F2">
              <w:rPr>
                <w:rFonts w:ascii="宋体" w:eastAsia="宋体" w:hAnsi="宋体" w:cs="宋体"/>
                <w:color w:val="000000"/>
                <w:lang w:val="en-US" w:bidi="ar-SA"/>
              </w:rPr>
              <w:t>1.0213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526F2" w:rsidP="00CC0C59">
            <w:pPr>
              <w:widowControl/>
              <w:autoSpaceDE/>
              <w:autoSpaceDN/>
              <w:jc w:val="center"/>
              <w:rPr>
                <w:rFonts w:ascii="宋体" w:eastAsia="宋体" w:hAnsi="宋体" w:cs="宋体"/>
                <w:color w:val="000000"/>
                <w:lang w:val="en-US" w:bidi="ar-SA"/>
              </w:rPr>
            </w:pPr>
            <w:r w:rsidRPr="002526F2">
              <w:rPr>
                <w:rFonts w:ascii="宋体" w:eastAsia="宋体" w:hAnsi="宋体" w:cs="宋体"/>
                <w:color w:val="000000"/>
                <w:lang w:val="en-US" w:bidi="ar-SA"/>
              </w:rPr>
              <w:t>1.0213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22C7C" w:rsidRDefault="00A41165" w:rsidP="00B22C7C">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B22C7C" w:rsidRPr="003A0EEA">
        <w:rPr>
          <w:rFonts w:asciiTheme="minorEastAsia" w:eastAsiaTheme="minorEastAsia" w:hAnsiTheme="minorEastAsia" w:hint="eastAsia"/>
          <w:color w:val="000000" w:themeColor="text1"/>
          <w:sz w:val="28"/>
          <w:szCs w:val="28"/>
          <w:lang w:val="en-US"/>
        </w:rPr>
        <w:t>2022</w:t>
      </w:r>
      <w:r w:rsidR="00B22C7C" w:rsidRPr="003A0EEA">
        <w:rPr>
          <w:rFonts w:asciiTheme="minorEastAsia" w:eastAsiaTheme="minorEastAsia" w:hAnsiTheme="minorEastAsia"/>
          <w:color w:val="000000" w:themeColor="text1"/>
          <w:sz w:val="28"/>
          <w:szCs w:val="28"/>
          <w:lang w:val="en-US"/>
        </w:rPr>
        <w:t>年</w:t>
      </w:r>
      <w:r w:rsidR="00B22C7C">
        <w:rPr>
          <w:rFonts w:asciiTheme="minorEastAsia" w:eastAsiaTheme="minorEastAsia" w:hAnsiTheme="minorEastAsia" w:hint="eastAsia"/>
          <w:color w:val="000000" w:themeColor="text1"/>
          <w:sz w:val="28"/>
          <w:szCs w:val="28"/>
          <w:lang w:val="en-US"/>
        </w:rPr>
        <w:t>四</w:t>
      </w:r>
      <w:r w:rsidR="00B22C7C" w:rsidRPr="003A0EEA">
        <w:rPr>
          <w:rFonts w:asciiTheme="minorEastAsia" w:eastAsiaTheme="minorEastAsia" w:hAnsiTheme="minorEastAsia"/>
          <w:color w:val="000000" w:themeColor="text1"/>
          <w:sz w:val="28"/>
          <w:szCs w:val="28"/>
          <w:lang w:val="en-US"/>
        </w:rPr>
        <w:t>季度经济背</w:t>
      </w:r>
      <w:r w:rsidR="00B22C7C" w:rsidRPr="003A0EEA">
        <w:rPr>
          <w:rFonts w:asciiTheme="minorEastAsia" w:eastAsiaTheme="minorEastAsia" w:hAnsiTheme="minorEastAsia"/>
          <w:color w:val="000000" w:themeColor="text1"/>
          <w:sz w:val="28"/>
          <w:szCs w:val="28"/>
        </w:rPr>
        <w:t>景</w:t>
      </w:r>
    </w:p>
    <w:p w:rsidR="00B22C7C" w:rsidRDefault="00B22C7C" w:rsidP="00B22C7C">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B22C7C" w:rsidP="00B22C7C">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786B7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F4741" w:rsidP="00635CC4">
            <w:pPr>
              <w:widowControl/>
              <w:autoSpaceDE/>
              <w:autoSpaceDN/>
              <w:jc w:val="center"/>
              <w:rPr>
                <w:rFonts w:ascii="宋体" w:eastAsia="宋体" w:hAnsi="宋体" w:cs="宋体"/>
                <w:color w:val="000000"/>
                <w:lang w:val="en-US" w:bidi="ar-SA"/>
              </w:rPr>
            </w:pPr>
            <w:r>
              <w:rPr>
                <w:rFonts w:hint="eastAsia"/>
                <w:color w:val="000000"/>
                <w:lang w:val="en-US" w:bidi="ar-SA"/>
              </w:rPr>
              <w:t>47.27%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F4741" w:rsidP="00F73388">
            <w:pPr>
              <w:widowControl/>
              <w:autoSpaceDE/>
              <w:autoSpaceDN/>
              <w:jc w:val="center"/>
              <w:rPr>
                <w:rFonts w:ascii="宋体" w:eastAsia="宋体" w:hAnsi="宋体" w:cs="宋体"/>
                <w:color w:val="000000"/>
                <w:lang w:val="en-US" w:bidi="ar-SA"/>
              </w:rPr>
            </w:pPr>
            <w:r>
              <w:rPr>
                <w:rFonts w:hint="eastAsia"/>
                <w:color w:val="000000"/>
                <w:lang w:val="en-US" w:bidi="ar-SA"/>
              </w:rPr>
              <w:t>52.73%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7F4741" w:rsidP="00F30827">
            <w:pPr>
              <w:pStyle w:val="TableParagraph"/>
              <w:spacing w:before="28"/>
              <w:ind w:left="107"/>
              <w:rPr>
                <w:rFonts w:ascii="Calibri"/>
                <w:sz w:val="21"/>
                <w:lang w:eastAsia="zh-CN"/>
              </w:rPr>
            </w:pPr>
            <w:r>
              <w:rPr>
                <w:rFonts w:ascii="Calibri" w:hint="eastAsia"/>
                <w:sz w:val="21"/>
                <w:lang w:eastAsia="zh-CN"/>
              </w:rPr>
              <w:t>5391895.69</w:t>
            </w:r>
          </w:p>
        </w:tc>
        <w:tc>
          <w:tcPr>
            <w:tcW w:w="1842" w:type="dxa"/>
          </w:tcPr>
          <w:p w:rsidR="009C20DF" w:rsidRDefault="007F4741" w:rsidP="00635CC4">
            <w:pPr>
              <w:pStyle w:val="TableParagraph"/>
              <w:spacing w:before="28"/>
              <w:ind w:left="107"/>
              <w:rPr>
                <w:color w:val="000000"/>
                <w:lang w:val="en-US" w:eastAsia="zh-CN" w:bidi="ar-SA"/>
              </w:rPr>
            </w:pPr>
            <w:r>
              <w:rPr>
                <w:rFonts w:hint="eastAsia"/>
                <w:color w:val="000000"/>
                <w:lang w:val="en-US" w:eastAsia="zh-CN" w:bidi="ar-SA"/>
              </w:rPr>
              <w:t>52.73</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7F474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4833637.02</w:t>
            </w:r>
          </w:p>
        </w:tc>
        <w:tc>
          <w:tcPr>
            <w:tcW w:w="1842" w:type="dxa"/>
          </w:tcPr>
          <w:p w:rsidR="00F30827" w:rsidRPr="005938C6" w:rsidRDefault="007F4741" w:rsidP="004B0665">
            <w:pPr>
              <w:pStyle w:val="TableParagraph"/>
              <w:spacing w:before="28"/>
              <w:ind w:left="107"/>
              <w:rPr>
                <w:rFonts w:ascii="Calibri"/>
                <w:color w:val="000000" w:themeColor="text1"/>
                <w:sz w:val="21"/>
              </w:rPr>
            </w:pPr>
            <w:r>
              <w:rPr>
                <w:rFonts w:hint="eastAsia"/>
                <w:color w:val="000000"/>
                <w:lang w:val="en-US" w:eastAsia="zh-CN" w:bidi="ar-SA"/>
              </w:rPr>
              <w:t>47.27</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1C78CB">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FB" w:rsidRDefault="00DA0DFB" w:rsidP="000B133E">
      <w:r>
        <w:separator/>
      </w:r>
    </w:p>
  </w:endnote>
  <w:endnote w:type="continuationSeparator" w:id="1">
    <w:p w:rsidR="00DA0DFB" w:rsidRDefault="00DA0DF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FB" w:rsidRDefault="00DA0DFB" w:rsidP="000B133E">
      <w:r>
        <w:separator/>
      </w:r>
    </w:p>
  </w:footnote>
  <w:footnote w:type="continuationSeparator" w:id="1">
    <w:p w:rsidR="00DA0DFB" w:rsidRDefault="00DA0DF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3B9D"/>
    <w:rsid w:val="000C6D7E"/>
    <w:rsid w:val="000E6514"/>
    <w:rsid w:val="00102222"/>
    <w:rsid w:val="00120D53"/>
    <w:rsid w:val="00120E10"/>
    <w:rsid w:val="0013476A"/>
    <w:rsid w:val="00147C2E"/>
    <w:rsid w:val="001524B8"/>
    <w:rsid w:val="001541C0"/>
    <w:rsid w:val="001820B1"/>
    <w:rsid w:val="001878BB"/>
    <w:rsid w:val="001A0A7B"/>
    <w:rsid w:val="001A2B87"/>
    <w:rsid w:val="001A52C4"/>
    <w:rsid w:val="001C1409"/>
    <w:rsid w:val="001C78CB"/>
    <w:rsid w:val="001F3925"/>
    <w:rsid w:val="002258FC"/>
    <w:rsid w:val="002526F2"/>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10F3"/>
    <w:rsid w:val="003C7A7C"/>
    <w:rsid w:val="00401EEB"/>
    <w:rsid w:val="00425A9B"/>
    <w:rsid w:val="004328BB"/>
    <w:rsid w:val="00441819"/>
    <w:rsid w:val="004717F6"/>
    <w:rsid w:val="00483E5A"/>
    <w:rsid w:val="0048443D"/>
    <w:rsid w:val="004854C2"/>
    <w:rsid w:val="004856B7"/>
    <w:rsid w:val="004A20F5"/>
    <w:rsid w:val="004B0665"/>
    <w:rsid w:val="004D07F1"/>
    <w:rsid w:val="004E3DF2"/>
    <w:rsid w:val="0050015F"/>
    <w:rsid w:val="005177EC"/>
    <w:rsid w:val="005414AB"/>
    <w:rsid w:val="005471DE"/>
    <w:rsid w:val="00554866"/>
    <w:rsid w:val="00574480"/>
    <w:rsid w:val="0058354F"/>
    <w:rsid w:val="005931A1"/>
    <w:rsid w:val="005B650F"/>
    <w:rsid w:val="005C35BD"/>
    <w:rsid w:val="005F683C"/>
    <w:rsid w:val="00604403"/>
    <w:rsid w:val="00607E50"/>
    <w:rsid w:val="0062274B"/>
    <w:rsid w:val="006310E4"/>
    <w:rsid w:val="006342A8"/>
    <w:rsid w:val="00634A73"/>
    <w:rsid w:val="00635531"/>
    <w:rsid w:val="00635779"/>
    <w:rsid w:val="00635CC4"/>
    <w:rsid w:val="00653F17"/>
    <w:rsid w:val="00656C9B"/>
    <w:rsid w:val="00673A11"/>
    <w:rsid w:val="00674ADA"/>
    <w:rsid w:val="006831C4"/>
    <w:rsid w:val="006935A2"/>
    <w:rsid w:val="006C1F83"/>
    <w:rsid w:val="00717E49"/>
    <w:rsid w:val="007508C6"/>
    <w:rsid w:val="00780F7B"/>
    <w:rsid w:val="0078123B"/>
    <w:rsid w:val="00786B71"/>
    <w:rsid w:val="00790E37"/>
    <w:rsid w:val="007D2B0C"/>
    <w:rsid w:val="007F4741"/>
    <w:rsid w:val="007F6E7D"/>
    <w:rsid w:val="00812D23"/>
    <w:rsid w:val="00813300"/>
    <w:rsid w:val="00813547"/>
    <w:rsid w:val="00837414"/>
    <w:rsid w:val="00873F04"/>
    <w:rsid w:val="00894E5A"/>
    <w:rsid w:val="008A09CE"/>
    <w:rsid w:val="008B7652"/>
    <w:rsid w:val="008D49B3"/>
    <w:rsid w:val="008E2EE0"/>
    <w:rsid w:val="00900F71"/>
    <w:rsid w:val="00906DF8"/>
    <w:rsid w:val="00936E75"/>
    <w:rsid w:val="0093754A"/>
    <w:rsid w:val="00951481"/>
    <w:rsid w:val="00955F04"/>
    <w:rsid w:val="00967CFE"/>
    <w:rsid w:val="009924B9"/>
    <w:rsid w:val="009A29CA"/>
    <w:rsid w:val="009B7B85"/>
    <w:rsid w:val="009C20DF"/>
    <w:rsid w:val="009D5F5F"/>
    <w:rsid w:val="009D666F"/>
    <w:rsid w:val="009E42D9"/>
    <w:rsid w:val="009F0B83"/>
    <w:rsid w:val="009F6B8D"/>
    <w:rsid w:val="00A10FE9"/>
    <w:rsid w:val="00A30969"/>
    <w:rsid w:val="00A41165"/>
    <w:rsid w:val="00A60559"/>
    <w:rsid w:val="00A62417"/>
    <w:rsid w:val="00A77D6B"/>
    <w:rsid w:val="00A84386"/>
    <w:rsid w:val="00AA1B91"/>
    <w:rsid w:val="00AE1010"/>
    <w:rsid w:val="00AE7D35"/>
    <w:rsid w:val="00AF16E1"/>
    <w:rsid w:val="00B003F3"/>
    <w:rsid w:val="00B03613"/>
    <w:rsid w:val="00B06EA0"/>
    <w:rsid w:val="00B108B4"/>
    <w:rsid w:val="00B1274E"/>
    <w:rsid w:val="00B22C7C"/>
    <w:rsid w:val="00B43A4E"/>
    <w:rsid w:val="00B62EC1"/>
    <w:rsid w:val="00B8264D"/>
    <w:rsid w:val="00B83DFB"/>
    <w:rsid w:val="00B907A8"/>
    <w:rsid w:val="00B95B89"/>
    <w:rsid w:val="00BB2FE6"/>
    <w:rsid w:val="00BB3B19"/>
    <w:rsid w:val="00BC21A8"/>
    <w:rsid w:val="00BC422F"/>
    <w:rsid w:val="00BC42F2"/>
    <w:rsid w:val="00BE4325"/>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67DC7"/>
    <w:rsid w:val="00D80A1C"/>
    <w:rsid w:val="00DA0DFB"/>
    <w:rsid w:val="00DA2383"/>
    <w:rsid w:val="00DA53E4"/>
    <w:rsid w:val="00DA5CAF"/>
    <w:rsid w:val="00E27944"/>
    <w:rsid w:val="00E3020B"/>
    <w:rsid w:val="00E40F64"/>
    <w:rsid w:val="00E51586"/>
    <w:rsid w:val="00E750D5"/>
    <w:rsid w:val="00E83A09"/>
    <w:rsid w:val="00EA47C2"/>
    <w:rsid w:val="00EB04F3"/>
    <w:rsid w:val="00EB337B"/>
    <w:rsid w:val="00ED1B04"/>
    <w:rsid w:val="00ED7730"/>
    <w:rsid w:val="00EE1B80"/>
    <w:rsid w:val="00EE5B1C"/>
    <w:rsid w:val="00F0002F"/>
    <w:rsid w:val="00F012B3"/>
    <w:rsid w:val="00F24E24"/>
    <w:rsid w:val="00F30827"/>
    <w:rsid w:val="00F42637"/>
    <w:rsid w:val="00F4607A"/>
    <w:rsid w:val="00F474BA"/>
    <w:rsid w:val="00F50E1D"/>
    <w:rsid w:val="00F5221F"/>
    <w:rsid w:val="00F547DA"/>
    <w:rsid w:val="00F60300"/>
    <w:rsid w:val="00F73388"/>
    <w:rsid w:val="00F76990"/>
    <w:rsid w:val="00FA5D49"/>
    <w:rsid w:val="00FB0FFD"/>
    <w:rsid w:val="00FC514F"/>
    <w:rsid w:val="00FC64F0"/>
    <w:rsid w:val="00FE0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326</Words>
  <Characters>1864</Characters>
  <Application>Microsoft Office Word</Application>
  <DocSecurity>0</DocSecurity>
  <Lines>15</Lines>
  <Paragraphs>4</Paragraphs>
  <ScaleCrop>false</ScaleCrop>
  <Company>china</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2023-02-06T14:47:00Z</dcterms:created>
  <dcterms:modified xsi:type="dcterms:W3CDTF">2023-02-06T14:47:00Z</dcterms:modified>
</cp:coreProperties>
</file>