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228E7">
        <w:rPr>
          <w:rFonts w:hint="eastAsia"/>
          <w:b/>
          <w:sz w:val="36"/>
          <w:szCs w:val="36"/>
        </w:rPr>
        <w:t>13</w:t>
      </w:r>
      <w:r w:rsidR="0087601D">
        <w:rPr>
          <w:rFonts w:hint="eastAsia"/>
          <w:b/>
          <w:sz w:val="36"/>
          <w:szCs w:val="36"/>
        </w:rPr>
        <w:t>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228E7">
              <w:rPr>
                <w:rFonts w:cs="宋体" w:hint="eastAsia"/>
                <w:color w:val="000000"/>
                <w:sz w:val="24"/>
                <w:szCs w:val="24"/>
                <w:lang w:val="en-US" w:bidi="ar-SA"/>
              </w:rPr>
              <w:t>13</w:t>
            </w:r>
            <w:r w:rsidR="0087601D">
              <w:rPr>
                <w:rFonts w:cs="宋体" w:hint="eastAsia"/>
                <w:color w:val="000000"/>
                <w:sz w:val="24"/>
                <w:szCs w:val="24"/>
                <w:lang w:val="en-US" w:bidi="ar-SA"/>
              </w:rPr>
              <w:t>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3228E7">
              <w:rPr>
                <w:rFonts w:hint="eastAsia"/>
                <w:sz w:val="24"/>
                <w:szCs w:val="24"/>
              </w:rPr>
              <w:t>3</w:t>
            </w:r>
            <w:r w:rsidR="0087601D">
              <w:rPr>
                <w:rFonts w:hint="eastAsia"/>
                <w:sz w:val="24"/>
                <w:szCs w:val="24"/>
              </w:rPr>
              <w:t>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228E7" w:rsidP="00E46453">
            <w:pPr>
              <w:widowControl/>
              <w:autoSpaceDE/>
              <w:autoSpaceDN/>
              <w:rPr>
                <w:rFonts w:cs="宋体"/>
                <w:color w:val="000000"/>
                <w:sz w:val="24"/>
                <w:szCs w:val="24"/>
                <w:lang w:val="en-US" w:bidi="ar-SA"/>
              </w:rPr>
            </w:pPr>
            <w:r>
              <w:rPr>
                <w:sz w:val="24"/>
                <w:szCs w:val="24"/>
              </w:rPr>
              <w:t>C10877220001</w:t>
            </w:r>
            <w:r>
              <w:rPr>
                <w:rFonts w:hint="eastAsia"/>
                <w:sz w:val="24"/>
                <w:szCs w:val="24"/>
              </w:rPr>
              <w:t>2</w:t>
            </w:r>
            <w:r w:rsidR="0087601D">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228E7" w:rsidP="00455EEC">
            <w:pPr>
              <w:widowControl/>
              <w:autoSpaceDE/>
              <w:autoSpaceDN/>
              <w:rPr>
                <w:rFonts w:cs="宋体"/>
                <w:color w:val="000000"/>
                <w:sz w:val="24"/>
                <w:szCs w:val="24"/>
                <w:lang w:val="en-US" w:bidi="ar-SA"/>
              </w:rPr>
            </w:pPr>
            <w:r>
              <w:rPr>
                <w:rFonts w:hint="eastAsia"/>
                <w:sz w:val="24"/>
                <w:szCs w:val="24"/>
              </w:rPr>
              <w:t>3</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228E7">
              <w:rPr>
                <w:rFonts w:hint="eastAsia"/>
                <w:sz w:val="24"/>
                <w:szCs w:val="24"/>
              </w:rPr>
              <w:t>11</w:t>
            </w:r>
            <w:r w:rsidR="00683AA2">
              <w:rPr>
                <w:rFonts w:hint="eastAsia"/>
                <w:sz w:val="24"/>
                <w:szCs w:val="24"/>
              </w:rPr>
              <w:t xml:space="preserve"> </w:t>
            </w:r>
            <w:r w:rsidR="00683AA2" w:rsidRPr="006838E1">
              <w:rPr>
                <w:sz w:val="24"/>
                <w:szCs w:val="24"/>
              </w:rPr>
              <w:t xml:space="preserve">月 </w:t>
            </w:r>
            <w:r w:rsidR="003228E7">
              <w:rPr>
                <w:rFonts w:hint="eastAsia"/>
                <w:sz w:val="24"/>
                <w:szCs w:val="24"/>
              </w:rPr>
              <w:t>1</w:t>
            </w:r>
            <w:r w:rsidR="00BA0EA0">
              <w:rPr>
                <w:rFonts w:hint="eastAsia"/>
                <w:sz w:val="24"/>
                <w:szCs w:val="24"/>
              </w:rPr>
              <w:t>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3228E7">
              <w:rPr>
                <w:rFonts w:hint="eastAsia"/>
                <w:sz w:val="24"/>
                <w:szCs w:val="24"/>
              </w:rPr>
              <w:t>2</w:t>
            </w:r>
            <w:r w:rsidR="0066028B">
              <w:rPr>
                <w:rFonts w:hint="eastAsia"/>
                <w:sz w:val="24"/>
                <w:szCs w:val="24"/>
              </w:rPr>
              <w:t xml:space="preserve"> </w:t>
            </w:r>
            <w:r w:rsidR="00F30827" w:rsidRPr="006838E1">
              <w:rPr>
                <w:sz w:val="24"/>
                <w:szCs w:val="24"/>
              </w:rPr>
              <w:t xml:space="preserve">月 </w:t>
            </w:r>
            <w:r w:rsidR="003228E7">
              <w:rPr>
                <w:rFonts w:hint="eastAsia"/>
                <w:sz w:val="24"/>
                <w:szCs w:val="24"/>
              </w:rPr>
              <w:t>22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3228E7">
              <w:rPr>
                <w:rFonts w:cs="宋体" w:hint="eastAsia"/>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3228E7">
        <w:rPr>
          <w:rFonts w:asciiTheme="minorEastAsia" w:eastAsiaTheme="minorEastAsia" w:hAnsiTheme="minorEastAsia" w:hint="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3228E7">
              <w:rPr>
                <w:rFonts w:ascii="宋体" w:eastAsia="宋体" w:hAnsi="宋体" w:cs="宋体" w:hint="eastAsia"/>
                <w:color w:val="000000"/>
                <w:lang w:val="en-US" w:bidi="ar-SA"/>
              </w:rPr>
              <w:t>42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3228E7">
              <w:rPr>
                <w:rFonts w:ascii="宋体" w:eastAsia="宋体" w:hAnsi="宋体" w:cs="宋体" w:hint="eastAsia"/>
                <w:color w:val="000000"/>
                <w:lang w:val="en-US" w:bidi="ar-SA"/>
              </w:rPr>
              <w:t>42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0060E3">
            <w:pPr>
              <w:widowControl/>
              <w:autoSpaceDE/>
              <w:autoSpaceDN/>
              <w:jc w:val="center"/>
              <w:rPr>
                <w:rFonts w:ascii="宋体" w:eastAsia="宋体" w:hAnsi="宋体" w:cs="宋体"/>
                <w:color w:val="000000"/>
                <w:lang w:val="en-US" w:bidi="ar-SA"/>
              </w:rPr>
            </w:pPr>
            <w:r>
              <w:rPr>
                <w:rFonts w:hint="eastAsia"/>
                <w:color w:val="000000"/>
                <w:lang w:val="en-US" w:bidi="ar-SA"/>
              </w:rPr>
              <w:t>100</w:t>
            </w:r>
            <w:r w:rsidR="0087601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27116A" w:rsidTr="007E7965">
        <w:trPr>
          <w:trHeight w:val="229"/>
        </w:trPr>
        <w:tc>
          <w:tcPr>
            <w:tcW w:w="1418" w:type="dxa"/>
          </w:tcPr>
          <w:p w:rsidR="0027116A" w:rsidRDefault="003228E7" w:rsidP="003F420A">
            <w:pPr>
              <w:pStyle w:val="TableParagraph"/>
              <w:spacing w:before="15" w:line="277" w:lineRule="exact"/>
              <w:ind w:left="6"/>
              <w:rPr>
                <w:lang w:eastAsia="zh-CN"/>
              </w:rPr>
            </w:pPr>
            <w:r>
              <w:rPr>
                <w:rFonts w:hint="eastAsia"/>
                <w:lang w:eastAsia="zh-CN"/>
              </w:rPr>
              <w:t>1</w:t>
            </w:r>
          </w:p>
        </w:tc>
        <w:tc>
          <w:tcPr>
            <w:tcW w:w="2977" w:type="dxa"/>
          </w:tcPr>
          <w:p w:rsidR="0027116A" w:rsidRDefault="003228E7"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武汉众邦银行股份有限公司同业</w:t>
            </w:r>
            <w:r w:rsidR="0027116A">
              <w:rPr>
                <w:rFonts w:asciiTheme="minorEastAsia" w:eastAsiaTheme="minorEastAsia" w:hAnsiTheme="minorEastAsia" w:hint="eastAsia"/>
                <w:color w:val="000000" w:themeColor="text1"/>
                <w:lang w:eastAsia="zh-CN"/>
              </w:rPr>
              <w:t>存款</w:t>
            </w:r>
          </w:p>
        </w:tc>
        <w:tc>
          <w:tcPr>
            <w:tcW w:w="1701" w:type="dxa"/>
          </w:tcPr>
          <w:p w:rsidR="0027116A" w:rsidRDefault="003228E7" w:rsidP="003F420A">
            <w:pPr>
              <w:pStyle w:val="TableParagraph"/>
              <w:spacing w:before="28"/>
              <w:ind w:left="107"/>
              <w:rPr>
                <w:rFonts w:ascii="Calibri"/>
                <w:sz w:val="21"/>
                <w:lang w:eastAsia="zh-CN"/>
              </w:rPr>
            </w:pPr>
            <w:r>
              <w:rPr>
                <w:rFonts w:ascii="Calibri" w:hint="eastAsia"/>
                <w:sz w:val="21"/>
                <w:lang w:eastAsia="zh-CN"/>
              </w:rPr>
              <w:t>30141833.18</w:t>
            </w:r>
          </w:p>
        </w:tc>
        <w:tc>
          <w:tcPr>
            <w:tcW w:w="1842" w:type="dxa"/>
          </w:tcPr>
          <w:p w:rsidR="0027116A" w:rsidRDefault="003228E7" w:rsidP="003F420A">
            <w:pPr>
              <w:pStyle w:val="TableParagraph"/>
              <w:spacing w:before="28"/>
              <w:ind w:left="107"/>
              <w:rPr>
                <w:color w:val="000000"/>
                <w:lang w:val="en-US" w:eastAsia="zh-CN" w:bidi="ar-SA"/>
              </w:rPr>
            </w:pPr>
            <w:r>
              <w:rPr>
                <w:rFonts w:hint="eastAsia"/>
                <w:color w:val="000000"/>
                <w:lang w:val="en-US" w:eastAsia="zh-CN" w:bidi="ar-SA"/>
              </w:rPr>
              <w:t>100</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623" w:rsidRDefault="00166623" w:rsidP="000B133E">
      <w:r>
        <w:separator/>
      </w:r>
    </w:p>
  </w:endnote>
  <w:endnote w:type="continuationSeparator" w:id="1">
    <w:p w:rsidR="00166623" w:rsidRDefault="0016662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623" w:rsidRDefault="00166623" w:rsidP="000B133E">
      <w:r>
        <w:separator/>
      </w:r>
    </w:p>
  </w:footnote>
  <w:footnote w:type="continuationSeparator" w:id="1">
    <w:p w:rsidR="00166623" w:rsidRDefault="0016662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66623"/>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228E7"/>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0451"/>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17003"/>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321</Words>
  <Characters>1834</Characters>
  <Application>Microsoft Office Word</Application>
  <DocSecurity>0</DocSecurity>
  <Lines>15</Lines>
  <Paragraphs>4</Paragraphs>
  <ScaleCrop>false</ScaleCrop>
  <Company>china</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2023-02-20T12:24:00Z</dcterms:created>
  <dcterms:modified xsi:type="dcterms:W3CDTF">2023-02-20T12:24:00Z</dcterms:modified>
</cp:coreProperties>
</file>