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B4839">
        <w:rPr>
          <w:rFonts w:hint="eastAsia"/>
          <w:b/>
          <w:sz w:val="36"/>
          <w:szCs w:val="36"/>
        </w:rPr>
        <w:t>84</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A2D">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B4839">
              <w:rPr>
                <w:rFonts w:cs="宋体" w:hint="eastAsia"/>
                <w:color w:val="000000"/>
                <w:sz w:val="24"/>
                <w:szCs w:val="24"/>
                <w:lang w:val="en-US" w:bidi="ar-SA"/>
              </w:rPr>
              <w:t>84</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EF240C">
              <w:rPr>
                <w:rFonts w:hint="eastAsia"/>
                <w:sz w:val="24"/>
                <w:szCs w:val="24"/>
              </w:rPr>
              <w:t>8</w:t>
            </w:r>
            <w:r w:rsidR="003B4839">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3B4839">
              <w:rPr>
                <w:rFonts w:hint="eastAsia"/>
                <w:sz w:val="24"/>
                <w:szCs w:val="24"/>
              </w:rPr>
              <w:t>81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F44A10">
            <w:pPr>
              <w:widowControl/>
              <w:autoSpaceDE/>
              <w:autoSpaceDN/>
              <w:rPr>
                <w:rFonts w:cs="宋体"/>
                <w:color w:val="000000"/>
                <w:sz w:val="24"/>
                <w:szCs w:val="24"/>
                <w:lang w:val="en-US" w:bidi="ar-SA"/>
              </w:rPr>
            </w:pPr>
            <w:r>
              <w:rPr>
                <w:rFonts w:hint="eastAsia"/>
                <w:sz w:val="24"/>
                <w:szCs w:val="24"/>
              </w:rPr>
              <w:t>1</w:t>
            </w:r>
            <w:r w:rsidR="00EF240C">
              <w:rPr>
                <w:rFonts w:hint="eastAsia"/>
                <w:sz w:val="24"/>
                <w:szCs w:val="24"/>
              </w:rPr>
              <w:t>0</w:t>
            </w:r>
            <w:r w:rsidR="007A033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3B4839">
              <w:rPr>
                <w:rFonts w:hint="eastAsia"/>
                <w:sz w:val="24"/>
                <w:szCs w:val="24"/>
              </w:rPr>
              <w:t>27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F240C">
              <w:rPr>
                <w:rFonts w:hint="eastAsia"/>
                <w:sz w:val="24"/>
                <w:szCs w:val="24"/>
              </w:rPr>
              <w:t>5</w:t>
            </w:r>
            <w:r w:rsidR="0066028B">
              <w:rPr>
                <w:rFonts w:hint="eastAsia"/>
                <w:sz w:val="24"/>
                <w:szCs w:val="24"/>
              </w:rPr>
              <w:t xml:space="preserve"> </w:t>
            </w:r>
            <w:r w:rsidR="00F30827" w:rsidRPr="006838E1">
              <w:rPr>
                <w:sz w:val="24"/>
                <w:szCs w:val="24"/>
              </w:rPr>
              <w:t xml:space="preserve">月 </w:t>
            </w:r>
            <w:r w:rsidR="003B4839">
              <w:rPr>
                <w:rFonts w:hint="eastAsia"/>
                <w:sz w:val="24"/>
                <w:szCs w:val="24"/>
              </w:rPr>
              <w:t>17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90A2D"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E73B7" w:rsidP="00CC0C59">
            <w:pPr>
              <w:widowControl/>
              <w:autoSpaceDE/>
              <w:autoSpaceDN/>
              <w:jc w:val="center"/>
              <w:rPr>
                <w:rFonts w:ascii="宋体" w:eastAsia="宋体" w:hAnsi="宋体" w:cs="宋体"/>
                <w:color w:val="000000"/>
                <w:lang w:val="en-US" w:bidi="ar-SA"/>
              </w:rPr>
            </w:pPr>
            <w:r w:rsidRPr="009E73B7">
              <w:rPr>
                <w:rFonts w:ascii="宋体" w:eastAsia="宋体" w:hAnsi="宋体" w:cs="宋体"/>
                <w:color w:val="000000"/>
                <w:lang w:val="en-US" w:bidi="ar-SA"/>
              </w:rPr>
              <w:t>1.0163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E73B7" w:rsidP="00CC0C59">
            <w:pPr>
              <w:widowControl/>
              <w:autoSpaceDE/>
              <w:autoSpaceDN/>
              <w:jc w:val="center"/>
              <w:rPr>
                <w:rFonts w:ascii="宋体" w:eastAsia="宋体" w:hAnsi="宋体" w:cs="宋体"/>
                <w:color w:val="000000"/>
                <w:lang w:val="en-US" w:bidi="ar-SA"/>
              </w:rPr>
            </w:pPr>
            <w:r w:rsidRPr="009E73B7">
              <w:rPr>
                <w:rFonts w:ascii="宋体" w:eastAsia="宋体" w:hAnsi="宋体" w:cs="宋体"/>
                <w:color w:val="000000"/>
                <w:lang w:val="en-US" w:bidi="ar-SA"/>
              </w:rPr>
              <w:t>1.0163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B4001" w:rsidRDefault="00A41165" w:rsidP="00DB400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DB4001" w:rsidRPr="003A0EEA">
        <w:rPr>
          <w:rFonts w:asciiTheme="minorEastAsia" w:eastAsiaTheme="minorEastAsia" w:hAnsiTheme="minorEastAsia" w:hint="eastAsia"/>
          <w:color w:val="000000" w:themeColor="text1"/>
          <w:sz w:val="28"/>
          <w:szCs w:val="28"/>
          <w:lang w:val="en-US"/>
        </w:rPr>
        <w:t>2022</w:t>
      </w:r>
      <w:r w:rsidR="00DB4001" w:rsidRPr="003A0EEA">
        <w:rPr>
          <w:rFonts w:asciiTheme="minorEastAsia" w:eastAsiaTheme="minorEastAsia" w:hAnsiTheme="minorEastAsia"/>
          <w:color w:val="000000" w:themeColor="text1"/>
          <w:sz w:val="28"/>
          <w:szCs w:val="28"/>
          <w:lang w:val="en-US"/>
        </w:rPr>
        <w:t>年</w:t>
      </w:r>
      <w:r w:rsidR="00DB4001">
        <w:rPr>
          <w:rFonts w:asciiTheme="minorEastAsia" w:eastAsiaTheme="minorEastAsia" w:hAnsiTheme="minorEastAsia" w:hint="eastAsia"/>
          <w:color w:val="000000" w:themeColor="text1"/>
          <w:sz w:val="28"/>
          <w:szCs w:val="28"/>
          <w:lang w:val="en-US"/>
        </w:rPr>
        <w:t>四</w:t>
      </w:r>
      <w:r w:rsidR="00DB4001" w:rsidRPr="003A0EEA">
        <w:rPr>
          <w:rFonts w:asciiTheme="minorEastAsia" w:eastAsiaTheme="minorEastAsia" w:hAnsiTheme="minorEastAsia"/>
          <w:color w:val="000000" w:themeColor="text1"/>
          <w:sz w:val="28"/>
          <w:szCs w:val="28"/>
          <w:lang w:val="en-US"/>
        </w:rPr>
        <w:t>季度经济背</w:t>
      </w:r>
      <w:r w:rsidR="00DB4001" w:rsidRPr="003A0EEA">
        <w:rPr>
          <w:rFonts w:asciiTheme="minorEastAsia" w:eastAsiaTheme="minorEastAsia" w:hAnsiTheme="minorEastAsia"/>
          <w:color w:val="000000" w:themeColor="text1"/>
          <w:sz w:val="28"/>
          <w:szCs w:val="28"/>
        </w:rPr>
        <w:t>景</w:t>
      </w:r>
    </w:p>
    <w:p w:rsidR="00DB4001" w:rsidRDefault="00DB4001" w:rsidP="00DB400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DB4001" w:rsidP="00DB400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83C23" w:rsidP="000060E3">
            <w:pPr>
              <w:widowControl/>
              <w:autoSpaceDE/>
              <w:autoSpaceDN/>
              <w:jc w:val="center"/>
              <w:rPr>
                <w:rFonts w:ascii="宋体" w:eastAsia="宋体" w:hAnsi="宋体" w:cs="宋体"/>
                <w:color w:val="000000"/>
                <w:lang w:val="en-US" w:bidi="ar-SA"/>
              </w:rPr>
            </w:pPr>
            <w:r>
              <w:rPr>
                <w:rFonts w:hint="eastAsia"/>
                <w:color w:val="000000"/>
                <w:lang w:val="en-US" w:bidi="ar-SA"/>
              </w:rPr>
              <w:t>27.87</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F37F7" w:rsidP="00F73388">
            <w:pPr>
              <w:widowControl/>
              <w:autoSpaceDE/>
              <w:autoSpaceDN/>
              <w:jc w:val="center"/>
              <w:rPr>
                <w:rFonts w:ascii="宋体" w:eastAsia="宋体" w:hAnsi="宋体" w:cs="宋体"/>
                <w:color w:val="000000"/>
                <w:lang w:val="en-US" w:bidi="ar-SA"/>
              </w:rPr>
            </w:pPr>
            <w:r>
              <w:rPr>
                <w:rFonts w:hint="eastAsia"/>
                <w:color w:val="000000"/>
                <w:lang w:val="en-US" w:bidi="ar-SA"/>
              </w:rPr>
              <w:t>72.1</w:t>
            </w:r>
            <w:r w:rsidR="00C83C23">
              <w:rPr>
                <w:rFonts w:hint="eastAsia"/>
                <w:color w:val="000000"/>
                <w:lang w:val="en-US" w:bidi="ar-SA"/>
              </w:rPr>
              <w:t>3</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EF240C" w:rsidP="003F37F7">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3F37F7">
              <w:rPr>
                <w:rFonts w:hint="eastAsia"/>
                <w:color w:val="000000"/>
                <w:lang w:val="en-US" w:eastAsia="zh-CN" w:bidi="ar-SA"/>
              </w:rPr>
              <w:t>1621044</w:t>
            </w:r>
          </w:p>
        </w:tc>
        <w:tc>
          <w:tcPr>
            <w:tcW w:w="1701" w:type="dxa"/>
          </w:tcPr>
          <w:p w:rsidR="000030AB" w:rsidRDefault="00C83C23" w:rsidP="00F04682">
            <w:pPr>
              <w:pStyle w:val="TableParagraph"/>
              <w:spacing w:before="28"/>
              <w:ind w:left="107"/>
              <w:rPr>
                <w:rFonts w:ascii="Calibri"/>
                <w:sz w:val="21"/>
                <w:lang w:eastAsia="zh-CN"/>
              </w:rPr>
            </w:pPr>
            <w:r>
              <w:rPr>
                <w:rFonts w:ascii="Calibri" w:hint="eastAsia"/>
                <w:sz w:val="21"/>
                <w:lang w:eastAsia="zh-CN"/>
              </w:rPr>
              <w:t>6299750.42</w:t>
            </w:r>
          </w:p>
        </w:tc>
        <w:tc>
          <w:tcPr>
            <w:tcW w:w="1842" w:type="dxa"/>
          </w:tcPr>
          <w:p w:rsidR="000030AB" w:rsidRDefault="003F37F7" w:rsidP="00C83C23">
            <w:pPr>
              <w:pStyle w:val="TableParagraph"/>
              <w:spacing w:before="28"/>
              <w:ind w:left="107"/>
              <w:rPr>
                <w:rFonts w:ascii="Calibri"/>
                <w:sz w:val="21"/>
              </w:rPr>
            </w:pPr>
            <w:r>
              <w:rPr>
                <w:rFonts w:hint="eastAsia"/>
                <w:color w:val="000000"/>
                <w:lang w:val="en-US" w:eastAsia="zh-CN" w:bidi="ar-SA"/>
              </w:rPr>
              <w:t>61.</w:t>
            </w:r>
            <w:r w:rsidR="00C83C23">
              <w:rPr>
                <w:rFonts w:hint="eastAsia"/>
                <w:color w:val="000000"/>
                <w:lang w:val="en-US" w:eastAsia="zh-CN" w:bidi="ar-SA"/>
              </w:rPr>
              <w:t>86</w:t>
            </w:r>
            <w:r w:rsidR="00E548C5">
              <w:rPr>
                <w:rFonts w:hint="eastAsia"/>
                <w:color w:val="000000"/>
                <w:lang w:val="en-US" w:bidi="ar-SA"/>
              </w:rPr>
              <w:t>%</w:t>
            </w:r>
          </w:p>
        </w:tc>
      </w:tr>
      <w:tr w:rsidR="003F37F7" w:rsidTr="000030AB">
        <w:trPr>
          <w:trHeight w:val="618"/>
        </w:trPr>
        <w:tc>
          <w:tcPr>
            <w:tcW w:w="1418" w:type="dxa"/>
          </w:tcPr>
          <w:p w:rsidR="003F37F7" w:rsidRDefault="003F37F7" w:rsidP="0087766A">
            <w:pPr>
              <w:pStyle w:val="TableParagraph"/>
              <w:spacing w:before="15" w:line="277" w:lineRule="exact"/>
              <w:ind w:left="6"/>
              <w:rPr>
                <w:lang w:eastAsia="zh-CN"/>
              </w:rPr>
            </w:pPr>
            <w:r>
              <w:rPr>
                <w:rFonts w:hint="eastAsia"/>
                <w:lang w:eastAsia="zh-CN"/>
              </w:rPr>
              <w:t>2</w:t>
            </w:r>
          </w:p>
        </w:tc>
        <w:tc>
          <w:tcPr>
            <w:tcW w:w="2977" w:type="dxa"/>
          </w:tcPr>
          <w:p w:rsidR="003F37F7" w:rsidRPr="009C20DF" w:rsidRDefault="003F37F7" w:rsidP="003F37F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w:t>
            </w:r>
            <w:r>
              <w:rPr>
                <w:rFonts w:hint="eastAsia"/>
                <w:color w:val="000000"/>
                <w:lang w:val="en-US" w:eastAsia="zh-CN" w:bidi="ar-SA"/>
              </w:rPr>
              <w:t>49</w:t>
            </w:r>
          </w:p>
        </w:tc>
        <w:tc>
          <w:tcPr>
            <w:tcW w:w="1701" w:type="dxa"/>
          </w:tcPr>
          <w:p w:rsidR="003F37F7" w:rsidRDefault="00C83C23" w:rsidP="00F04682">
            <w:pPr>
              <w:pStyle w:val="TableParagraph"/>
              <w:spacing w:before="28"/>
              <w:ind w:left="107"/>
              <w:rPr>
                <w:rFonts w:ascii="Calibri"/>
                <w:sz w:val="21"/>
                <w:lang w:eastAsia="zh-CN"/>
              </w:rPr>
            </w:pPr>
            <w:r>
              <w:rPr>
                <w:rFonts w:ascii="Calibri" w:hint="eastAsia"/>
                <w:sz w:val="21"/>
                <w:lang w:eastAsia="zh-CN"/>
              </w:rPr>
              <w:t>1046327.79</w:t>
            </w:r>
          </w:p>
        </w:tc>
        <w:tc>
          <w:tcPr>
            <w:tcW w:w="1842" w:type="dxa"/>
          </w:tcPr>
          <w:p w:rsidR="003F37F7" w:rsidRDefault="00C83C23" w:rsidP="00F04682">
            <w:pPr>
              <w:pStyle w:val="TableParagraph"/>
              <w:spacing w:before="28"/>
              <w:ind w:left="107"/>
              <w:rPr>
                <w:color w:val="000000"/>
                <w:lang w:val="en-US" w:eastAsia="zh-CN" w:bidi="ar-SA"/>
              </w:rPr>
            </w:pPr>
            <w:r>
              <w:rPr>
                <w:rFonts w:hint="eastAsia"/>
                <w:color w:val="000000"/>
                <w:lang w:val="en-US" w:eastAsia="zh-CN" w:bidi="ar-SA"/>
              </w:rPr>
              <w:t>10.27</w:t>
            </w:r>
            <w:r w:rsidR="003F37F7">
              <w:rPr>
                <w:rFonts w:hint="eastAsia"/>
                <w:color w:val="000000"/>
                <w:lang w:val="en-US" w:bidi="ar-SA"/>
              </w:rPr>
              <w:t>%</w:t>
            </w:r>
          </w:p>
        </w:tc>
      </w:tr>
      <w:tr w:rsidR="003F37F7" w:rsidTr="000030AB">
        <w:trPr>
          <w:trHeight w:val="618"/>
        </w:trPr>
        <w:tc>
          <w:tcPr>
            <w:tcW w:w="1418" w:type="dxa"/>
          </w:tcPr>
          <w:p w:rsidR="003F37F7" w:rsidRDefault="003F37F7" w:rsidP="0087766A">
            <w:pPr>
              <w:pStyle w:val="TableParagraph"/>
              <w:spacing w:before="15" w:line="277" w:lineRule="exact"/>
              <w:ind w:left="6"/>
              <w:rPr>
                <w:lang w:eastAsia="zh-CN"/>
              </w:rPr>
            </w:pPr>
            <w:r>
              <w:rPr>
                <w:rFonts w:hint="eastAsia"/>
                <w:lang w:eastAsia="zh-CN"/>
              </w:rPr>
              <w:t>3</w:t>
            </w:r>
          </w:p>
        </w:tc>
        <w:tc>
          <w:tcPr>
            <w:tcW w:w="2977" w:type="dxa"/>
          </w:tcPr>
          <w:p w:rsidR="003F37F7" w:rsidRPr="009C20DF" w:rsidRDefault="00C83C23" w:rsidP="00F04682">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自贡</w:t>
            </w:r>
            <w:r w:rsidR="003F37F7">
              <w:rPr>
                <w:rFonts w:asciiTheme="minorEastAsia" w:eastAsiaTheme="minorEastAsia" w:hAnsiTheme="minorEastAsia" w:hint="eastAsia"/>
                <w:lang w:eastAsia="zh-CN"/>
              </w:rPr>
              <w:t>银行股份有限公司同业存款</w:t>
            </w:r>
          </w:p>
        </w:tc>
        <w:tc>
          <w:tcPr>
            <w:tcW w:w="1701" w:type="dxa"/>
          </w:tcPr>
          <w:p w:rsidR="003F37F7" w:rsidRDefault="00C83C23" w:rsidP="00F04682">
            <w:pPr>
              <w:pStyle w:val="TableParagraph"/>
              <w:spacing w:before="28"/>
              <w:ind w:left="107"/>
              <w:rPr>
                <w:rFonts w:ascii="Calibri"/>
                <w:sz w:val="21"/>
                <w:lang w:eastAsia="zh-CN"/>
              </w:rPr>
            </w:pPr>
            <w:r>
              <w:rPr>
                <w:rFonts w:ascii="Calibri" w:hint="eastAsia"/>
                <w:sz w:val="21"/>
                <w:lang w:eastAsia="zh-CN"/>
              </w:rPr>
              <w:t>2518500</w:t>
            </w:r>
          </w:p>
        </w:tc>
        <w:tc>
          <w:tcPr>
            <w:tcW w:w="1842" w:type="dxa"/>
          </w:tcPr>
          <w:p w:rsidR="003F37F7" w:rsidRDefault="00C83C23" w:rsidP="00F04682">
            <w:pPr>
              <w:pStyle w:val="TableParagraph"/>
              <w:spacing w:before="28"/>
              <w:ind w:left="107"/>
              <w:rPr>
                <w:color w:val="000000"/>
                <w:lang w:val="en-US" w:eastAsia="zh-CN" w:bidi="ar-SA"/>
              </w:rPr>
            </w:pPr>
            <w:r>
              <w:rPr>
                <w:rFonts w:hint="eastAsia"/>
                <w:color w:val="000000"/>
                <w:lang w:val="en-US" w:eastAsia="zh-CN" w:bidi="ar-SA"/>
              </w:rPr>
              <w:t>24.73</w:t>
            </w:r>
            <w:r w:rsidR="003F37F7">
              <w:rPr>
                <w:rFonts w:hint="eastAsia"/>
                <w:color w:val="000000"/>
                <w:lang w:val="en-US" w:bidi="ar-SA"/>
              </w:rPr>
              <w:t>%</w:t>
            </w:r>
          </w:p>
        </w:tc>
      </w:tr>
      <w:tr w:rsidR="0066028B" w:rsidTr="00C90A0F">
        <w:trPr>
          <w:trHeight w:val="311"/>
        </w:trPr>
        <w:tc>
          <w:tcPr>
            <w:tcW w:w="1418" w:type="dxa"/>
          </w:tcPr>
          <w:p w:rsidR="0066028B" w:rsidRDefault="003F37F7" w:rsidP="0087766A">
            <w:pPr>
              <w:pStyle w:val="TableParagraph"/>
              <w:spacing w:before="15" w:line="277" w:lineRule="exact"/>
              <w:ind w:left="6"/>
              <w:rPr>
                <w:lang w:eastAsia="zh-CN"/>
              </w:rPr>
            </w:pPr>
            <w:r>
              <w:rPr>
                <w:rFonts w:hint="eastAsia"/>
                <w:lang w:eastAsia="zh-CN"/>
              </w:rPr>
              <w:t>4</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C83C23" w:rsidP="0087766A">
            <w:pPr>
              <w:pStyle w:val="TableParagraph"/>
              <w:spacing w:before="28"/>
              <w:ind w:left="107"/>
              <w:rPr>
                <w:rFonts w:ascii="Calibri"/>
                <w:sz w:val="21"/>
                <w:lang w:eastAsia="zh-CN"/>
              </w:rPr>
            </w:pPr>
            <w:r>
              <w:rPr>
                <w:rFonts w:ascii="Calibri" w:hint="eastAsia"/>
                <w:sz w:val="21"/>
                <w:lang w:eastAsia="zh-CN"/>
              </w:rPr>
              <w:t>319782.25</w:t>
            </w:r>
          </w:p>
        </w:tc>
        <w:tc>
          <w:tcPr>
            <w:tcW w:w="1842" w:type="dxa"/>
          </w:tcPr>
          <w:p w:rsidR="0066028B" w:rsidRDefault="00C83C23" w:rsidP="000030AB">
            <w:pPr>
              <w:pStyle w:val="TableParagraph"/>
              <w:spacing w:before="28"/>
              <w:ind w:left="107"/>
              <w:rPr>
                <w:color w:val="000000"/>
                <w:lang w:val="en-US" w:eastAsia="zh-CN" w:bidi="ar-SA"/>
              </w:rPr>
            </w:pPr>
            <w:r>
              <w:rPr>
                <w:rFonts w:hint="eastAsia"/>
                <w:color w:val="000000"/>
                <w:lang w:val="en-US" w:eastAsia="zh-CN" w:bidi="ar-SA"/>
              </w:rPr>
              <w:t>3.14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211053">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483" w:rsidRDefault="008F7483" w:rsidP="000B133E">
      <w:r>
        <w:separator/>
      </w:r>
    </w:p>
  </w:endnote>
  <w:endnote w:type="continuationSeparator" w:id="1">
    <w:p w:rsidR="008F7483" w:rsidRDefault="008F748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483" w:rsidRDefault="008F7483" w:rsidP="000B133E">
      <w:r>
        <w:separator/>
      </w:r>
    </w:p>
  </w:footnote>
  <w:footnote w:type="continuationSeparator" w:id="1">
    <w:p w:rsidR="008F7483" w:rsidRDefault="008F748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11053"/>
    <w:rsid w:val="00216D73"/>
    <w:rsid w:val="002258FC"/>
    <w:rsid w:val="00264A5F"/>
    <w:rsid w:val="00266107"/>
    <w:rsid w:val="0029003A"/>
    <w:rsid w:val="002A4E4F"/>
    <w:rsid w:val="002C38EE"/>
    <w:rsid w:val="002C3A24"/>
    <w:rsid w:val="002C72ED"/>
    <w:rsid w:val="002D37C8"/>
    <w:rsid w:val="002D42B1"/>
    <w:rsid w:val="002F108B"/>
    <w:rsid w:val="002F7262"/>
    <w:rsid w:val="003059DF"/>
    <w:rsid w:val="00310492"/>
    <w:rsid w:val="00331CE2"/>
    <w:rsid w:val="003400D8"/>
    <w:rsid w:val="00340332"/>
    <w:rsid w:val="00362548"/>
    <w:rsid w:val="00365D99"/>
    <w:rsid w:val="00371E38"/>
    <w:rsid w:val="003A377B"/>
    <w:rsid w:val="003B4839"/>
    <w:rsid w:val="003C4544"/>
    <w:rsid w:val="003C7A7C"/>
    <w:rsid w:val="003E223A"/>
    <w:rsid w:val="003F37F7"/>
    <w:rsid w:val="003F5FA3"/>
    <w:rsid w:val="00401EEB"/>
    <w:rsid w:val="004123E4"/>
    <w:rsid w:val="00423814"/>
    <w:rsid w:val="00425A9B"/>
    <w:rsid w:val="00436168"/>
    <w:rsid w:val="00441819"/>
    <w:rsid w:val="00454B55"/>
    <w:rsid w:val="00476ED8"/>
    <w:rsid w:val="00483E5A"/>
    <w:rsid w:val="0048443D"/>
    <w:rsid w:val="004854C2"/>
    <w:rsid w:val="004856B7"/>
    <w:rsid w:val="004D07F1"/>
    <w:rsid w:val="004E3DF2"/>
    <w:rsid w:val="004E6A0C"/>
    <w:rsid w:val="004F61BB"/>
    <w:rsid w:val="0050015F"/>
    <w:rsid w:val="005122A3"/>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C1A90"/>
    <w:rsid w:val="00714DC0"/>
    <w:rsid w:val="00717E49"/>
    <w:rsid w:val="00723DB2"/>
    <w:rsid w:val="00737152"/>
    <w:rsid w:val="0073756F"/>
    <w:rsid w:val="007424BF"/>
    <w:rsid w:val="007508C6"/>
    <w:rsid w:val="00780F7B"/>
    <w:rsid w:val="00790A2D"/>
    <w:rsid w:val="00790C1F"/>
    <w:rsid w:val="00790E37"/>
    <w:rsid w:val="007A0332"/>
    <w:rsid w:val="007C5726"/>
    <w:rsid w:val="007D5E55"/>
    <w:rsid w:val="007E3D48"/>
    <w:rsid w:val="00812D23"/>
    <w:rsid w:val="00813300"/>
    <w:rsid w:val="00813547"/>
    <w:rsid w:val="00837414"/>
    <w:rsid w:val="00873F04"/>
    <w:rsid w:val="00894E5A"/>
    <w:rsid w:val="008A09CE"/>
    <w:rsid w:val="008C2886"/>
    <w:rsid w:val="008D49B3"/>
    <w:rsid w:val="008E2EE0"/>
    <w:rsid w:val="008F7483"/>
    <w:rsid w:val="0090517E"/>
    <w:rsid w:val="00906DF8"/>
    <w:rsid w:val="00936E75"/>
    <w:rsid w:val="0093754A"/>
    <w:rsid w:val="00955BD3"/>
    <w:rsid w:val="00955F04"/>
    <w:rsid w:val="00980B2A"/>
    <w:rsid w:val="009924B9"/>
    <w:rsid w:val="009926E4"/>
    <w:rsid w:val="009A1093"/>
    <w:rsid w:val="009A29CA"/>
    <w:rsid w:val="009B7B85"/>
    <w:rsid w:val="009C20DF"/>
    <w:rsid w:val="009E73B7"/>
    <w:rsid w:val="009F0B83"/>
    <w:rsid w:val="009F3D3A"/>
    <w:rsid w:val="009F6B8D"/>
    <w:rsid w:val="00A005A2"/>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332"/>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83C23"/>
    <w:rsid w:val="00C8419E"/>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B4001"/>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1940</Characters>
  <Application>Microsoft Office Word</Application>
  <DocSecurity>0</DocSecurity>
  <Lines>16</Lines>
  <Paragraphs>4</Paragraphs>
  <ScaleCrop>false</ScaleCrop>
  <Company>china</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2023-02-11T02:06:00Z</dcterms:created>
  <dcterms:modified xsi:type="dcterms:W3CDTF">2023-02-11T02:06:00Z</dcterms:modified>
</cp:coreProperties>
</file>