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w:t>
      </w:r>
      <w:r w:rsidR="00132714">
        <w:rPr>
          <w:rFonts w:hint="eastAsia"/>
          <w:b/>
          <w:sz w:val="36"/>
          <w:szCs w:val="36"/>
        </w:rPr>
        <w:t>1</w:t>
      </w:r>
      <w:r w:rsidR="007850C7">
        <w:rPr>
          <w:b/>
          <w:sz w:val="36"/>
          <w:szCs w:val="36"/>
        </w:rPr>
        <w:t>28</w:t>
      </w:r>
      <w:r w:rsidR="009365D8">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7850C7">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w:t>
            </w:r>
            <w:r w:rsidR="00132714">
              <w:rPr>
                <w:rFonts w:cs="宋体"/>
                <w:color w:val="000000"/>
                <w:sz w:val="24"/>
                <w:szCs w:val="24"/>
                <w:lang w:val="en-US" w:bidi="ar-SA"/>
              </w:rPr>
              <w:t>1</w:t>
            </w:r>
            <w:r w:rsidR="007850C7">
              <w:rPr>
                <w:rFonts w:cs="宋体"/>
                <w:color w:val="000000"/>
                <w:sz w:val="24"/>
                <w:szCs w:val="24"/>
                <w:lang w:val="en-US" w:bidi="ar-SA"/>
              </w:rPr>
              <w:t>28</w:t>
            </w:r>
            <w:r w:rsidR="009365D8">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7850C7">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7850C7">
              <w:rPr>
                <w:sz w:val="24"/>
                <w:szCs w:val="24"/>
              </w:rPr>
              <w:t>28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7850C7">
              <w:rPr>
                <w:sz w:val="24"/>
                <w:szCs w:val="24"/>
              </w:rPr>
              <w:t>25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05DCF" w:rsidP="00455EEC">
            <w:pPr>
              <w:widowControl/>
              <w:autoSpaceDE/>
              <w:autoSpaceDN/>
              <w:rPr>
                <w:rFonts w:cs="宋体"/>
                <w:color w:val="000000"/>
                <w:sz w:val="24"/>
                <w:szCs w:val="24"/>
                <w:lang w:val="en-US" w:bidi="ar-SA"/>
              </w:rPr>
            </w:pPr>
            <w:r>
              <w:rPr>
                <w:rFonts w:hint="eastAsia"/>
                <w:sz w:val="24"/>
                <w:szCs w:val="24"/>
              </w:rPr>
              <w:t>1</w:t>
            </w:r>
            <w:r w:rsidR="007850C7">
              <w:rPr>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850C7">
              <w:rPr>
                <w:rFonts w:hint="eastAsia"/>
                <w:sz w:val="24"/>
                <w:szCs w:val="24"/>
              </w:rPr>
              <w:t>1</w:t>
            </w:r>
            <w:r w:rsidR="007850C7">
              <w:rPr>
                <w:sz w:val="24"/>
                <w:szCs w:val="24"/>
              </w:rPr>
              <w:t>1</w:t>
            </w:r>
            <w:r w:rsidR="00683AA2">
              <w:rPr>
                <w:rFonts w:hint="eastAsia"/>
                <w:sz w:val="24"/>
                <w:szCs w:val="24"/>
              </w:rPr>
              <w:t xml:space="preserve"> </w:t>
            </w:r>
            <w:r w:rsidR="00683AA2" w:rsidRPr="006838E1">
              <w:rPr>
                <w:sz w:val="24"/>
                <w:szCs w:val="24"/>
              </w:rPr>
              <w:t xml:space="preserve">月 </w:t>
            </w:r>
            <w:r w:rsidR="007850C7">
              <w:rPr>
                <w:sz w:val="24"/>
                <w:szCs w:val="24"/>
              </w:rPr>
              <w:t>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850C7">
              <w:rPr>
                <w:sz w:val="24"/>
                <w:szCs w:val="24"/>
              </w:rPr>
              <w:t>8</w:t>
            </w:r>
            <w:r w:rsidR="0066028B">
              <w:rPr>
                <w:rFonts w:hint="eastAsia"/>
                <w:sz w:val="24"/>
                <w:szCs w:val="24"/>
              </w:rPr>
              <w:t xml:space="preserve"> </w:t>
            </w:r>
            <w:r w:rsidR="00F30827" w:rsidRPr="006838E1">
              <w:rPr>
                <w:sz w:val="24"/>
                <w:szCs w:val="24"/>
              </w:rPr>
              <w:t xml:space="preserve">月 </w:t>
            </w:r>
            <w:r w:rsidR="007850C7">
              <w:rPr>
                <w:rFonts w:hint="eastAsia"/>
                <w:sz w:val="24"/>
                <w:szCs w:val="24"/>
              </w:rPr>
              <w:t>2</w:t>
            </w:r>
            <w:r w:rsidR="007850C7">
              <w:rPr>
                <w:sz w:val="24"/>
                <w:szCs w:val="24"/>
              </w:rPr>
              <w:t>3</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850C7">
              <w:rPr>
                <w:rFonts w:cs="宋体" w:hint="eastAsia"/>
                <w:color w:val="000000"/>
                <w:sz w:val="24"/>
                <w:szCs w:val="24"/>
                <w:lang w:val="en-US" w:bidi="ar-SA"/>
              </w:rPr>
              <w:t>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132714">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9365D8">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7850C7">
              <w:rPr>
                <w:rFonts w:ascii="宋体" w:eastAsia="宋体" w:hAnsi="宋体" w:cs="宋体"/>
                <w:color w:val="000000"/>
                <w:lang w:val="en-US" w:bidi="ar-SA"/>
              </w:rPr>
              <w:t>54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365D8"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7850C7">
              <w:rPr>
                <w:rFonts w:ascii="宋体" w:eastAsia="宋体" w:hAnsi="宋体" w:cs="宋体"/>
                <w:color w:val="000000"/>
                <w:lang w:val="en-US" w:bidi="ar-SA"/>
              </w:rPr>
              <w:t>54</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850C7" w:rsidP="000060E3">
            <w:pPr>
              <w:widowControl/>
              <w:autoSpaceDE/>
              <w:autoSpaceDN/>
              <w:jc w:val="center"/>
              <w:rPr>
                <w:rFonts w:ascii="宋体" w:eastAsia="宋体" w:hAnsi="宋体" w:cs="宋体"/>
                <w:color w:val="000000"/>
                <w:lang w:val="en-US" w:bidi="ar-SA"/>
              </w:rPr>
            </w:pPr>
            <w:r>
              <w:rPr>
                <w:color w:val="000000"/>
                <w:lang w:val="en-US" w:bidi="ar-SA"/>
              </w:rPr>
              <w:t>49.43</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850C7" w:rsidP="00F73388">
            <w:pPr>
              <w:widowControl/>
              <w:autoSpaceDE/>
              <w:autoSpaceDN/>
              <w:jc w:val="center"/>
              <w:rPr>
                <w:rFonts w:ascii="宋体" w:eastAsia="宋体" w:hAnsi="宋体" w:cs="宋体"/>
                <w:color w:val="000000"/>
                <w:lang w:val="en-US" w:bidi="ar-SA"/>
              </w:rPr>
            </w:pPr>
            <w:r>
              <w:rPr>
                <w:color w:val="000000"/>
                <w:lang w:val="en-US" w:bidi="ar-SA"/>
              </w:rPr>
              <w:t>50.57</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bookmarkStart w:id="0" w:name="_GoBack"/>
      <w:bookmarkEnd w:id="0"/>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132714" w:rsidTr="00C90A0F">
        <w:trPr>
          <w:trHeight w:val="311"/>
        </w:trPr>
        <w:tc>
          <w:tcPr>
            <w:tcW w:w="1418" w:type="dxa"/>
          </w:tcPr>
          <w:p w:rsidR="00132714" w:rsidRDefault="00132714" w:rsidP="0087766A">
            <w:pPr>
              <w:pStyle w:val="TableParagraph"/>
              <w:spacing w:before="15" w:line="277" w:lineRule="exact"/>
              <w:ind w:left="6"/>
              <w:rPr>
                <w:lang w:eastAsia="zh-CN"/>
              </w:rPr>
            </w:pPr>
            <w:r>
              <w:rPr>
                <w:rFonts w:hint="eastAsia"/>
                <w:lang w:eastAsia="zh-CN"/>
              </w:rPr>
              <w:t>1</w:t>
            </w:r>
          </w:p>
        </w:tc>
        <w:tc>
          <w:tcPr>
            <w:tcW w:w="2977" w:type="dxa"/>
          </w:tcPr>
          <w:p w:rsidR="00132714" w:rsidRPr="00E40F64" w:rsidRDefault="00132714" w:rsidP="00C62586">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7850C7" w:rsidRPr="007850C7">
              <w:rPr>
                <w:color w:val="000000"/>
                <w:lang w:val="en-US" w:eastAsia="zh-CN" w:bidi="ar-SA"/>
              </w:rPr>
              <w:t>1621028</w:t>
            </w:r>
          </w:p>
        </w:tc>
        <w:tc>
          <w:tcPr>
            <w:tcW w:w="1701" w:type="dxa"/>
          </w:tcPr>
          <w:p w:rsidR="00132714" w:rsidRDefault="007850C7" w:rsidP="00C62586">
            <w:pPr>
              <w:pStyle w:val="TableParagraph"/>
              <w:spacing w:before="28"/>
              <w:ind w:left="107"/>
              <w:rPr>
                <w:rFonts w:ascii="Calibri"/>
                <w:sz w:val="21"/>
                <w:lang w:eastAsia="zh-CN"/>
              </w:rPr>
            </w:pPr>
            <w:r>
              <w:rPr>
                <w:rFonts w:ascii="Calibri"/>
                <w:sz w:val="21"/>
                <w:lang w:eastAsia="zh-CN"/>
              </w:rPr>
              <w:t>5085629.02</w:t>
            </w:r>
          </w:p>
        </w:tc>
        <w:tc>
          <w:tcPr>
            <w:tcW w:w="1842" w:type="dxa"/>
          </w:tcPr>
          <w:p w:rsidR="00132714" w:rsidRDefault="007850C7" w:rsidP="00C62586">
            <w:pPr>
              <w:pStyle w:val="TableParagraph"/>
              <w:spacing w:before="28"/>
              <w:ind w:left="107"/>
              <w:rPr>
                <w:color w:val="000000"/>
                <w:lang w:val="en-US" w:eastAsia="zh-CN" w:bidi="ar-SA"/>
              </w:rPr>
            </w:pPr>
            <w:r>
              <w:rPr>
                <w:color w:val="000000"/>
                <w:lang w:val="en-US" w:eastAsia="zh-CN" w:bidi="ar-SA"/>
              </w:rPr>
              <w:t>50.57</w:t>
            </w:r>
            <w:r w:rsidR="00132714">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7850C7" w:rsidP="003F420A">
            <w:pPr>
              <w:pStyle w:val="TableParagraph"/>
              <w:spacing w:before="28"/>
              <w:ind w:left="107"/>
              <w:rPr>
                <w:rFonts w:ascii="Calibri"/>
                <w:sz w:val="21"/>
                <w:lang w:eastAsia="zh-CN"/>
              </w:rPr>
            </w:pPr>
            <w:r>
              <w:rPr>
                <w:rFonts w:ascii="Calibri"/>
                <w:sz w:val="21"/>
                <w:lang w:eastAsia="zh-CN"/>
              </w:rPr>
              <w:t>4970569.00</w:t>
            </w:r>
          </w:p>
        </w:tc>
        <w:tc>
          <w:tcPr>
            <w:tcW w:w="1842" w:type="dxa"/>
          </w:tcPr>
          <w:p w:rsidR="0027116A" w:rsidRDefault="007850C7" w:rsidP="003F420A">
            <w:pPr>
              <w:pStyle w:val="TableParagraph"/>
              <w:spacing w:before="28"/>
              <w:ind w:left="107"/>
              <w:rPr>
                <w:color w:val="000000"/>
                <w:lang w:val="en-US" w:eastAsia="zh-CN" w:bidi="ar-SA"/>
              </w:rPr>
            </w:pPr>
            <w:r>
              <w:rPr>
                <w:color w:val="000000"/>
                <w:lang w:val="en-US" w:eastAsia="zh-CN" w:bidi="ar-SA"/>
              </w:rPr>
              <w:t>49.43</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FA" w:rsidRDefault="003D45FA" w:rsidP="000B133E">
      <w:r>
        <w:separator/>
      </w:r>
    </w:p>
  </w:endnote>
  <w:endnote w:type="continuationSeparator" w:id="0">
    <w:p w:rsidR="003D45FA" w:rsidRDefault="003D45FA"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FA" w:rsidRDefault="003D45FA" w:rsidP="000B133E">
      <w:r>
        <w:separator/>
      </w:r>
    </w:p>
  </w:footnote>
  <w:footnote w:type="continuationSeparator" w:id="0">
    <w:p w:rsidR="003D45FA" w:rsidRDefault="003D45FA"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0BD8"/>
    <w:rsid w:val="0002628D"/>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2714"/>
    <w:rsid w:val="0013476A"/>
    <w:rsid w:val="00147C2E"/>
    <w:rsid w:val="00167741"/>
    <w:rsid w:val="001708FD"/>
    <w:rsid w:val="001820B1"/>
    <w:rsid w:val="00186293"/>
    <w:rsid w:val="001878BB"/>
    <w:rsid w:val="001A0A7B"/>
    <w:rsid w:val="001A4994"/>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D45FA"/>
    <w:rsid w:val="003E223A"/>
    <w:rsid w:val="00401EEB"/>
    <w:rsid w:val="004123E4"/>
    <w:rsid w:val="00423814"/>
    <w:rsid w:val="00425A9B"/>
    <w:rsid w:val="00436168"/>
    <w:rsid w:val="00441819"/>
    <w:rsid w:val="004430F5"/>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7628A"/>
    <w:rsid w:val="00780F7B"/>
    <w:rsid w:val="007832B7"/>
    <w:rsid w:val="007850C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2CCC"/>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3F3"/>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465B8"/>
  <w15:docId w15:val="{4CCF810A-D064-4504-B805-88A95D9F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1876</Characters>
  <Application>Microsoft Office Word</Application>
  <DocSecurity>0</DocSecurity>
  <Lines>15</Lines>
  <Paragraphs>4</Paragraphs>
  <ScaleCrop>false</ScaleCrop>
  <Company>china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2023-03-15T09:21:00Z</dcterms:created>
  <dcterms:modified xsi:type="dcterms:W3CDTF">2023-03-15T09:21:00Z</dcterms:modified>
</cp:coreProperties>
</file>